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A1" w:rsidRDefault="000A63A1" w:rsidP="005B59A8">
      <w:pPr>
        <w:spacing w:after="120" w:line="360" w:lineRule="auto"/>
        <w:jc w:val="center"/>
        <w:rPr>
          <w:rFonts w:ascii="David" w:hAnsi="David" w:cs="David"/>
          <w:b/>
          <w:bCs/>
          <w:sz w:val="28"/>
          <w:szCs w:val="28"/>
          <w:u w:val="single"/>
          <w:rtl/>
        </w:rPr>
      </w:pPr>
      <w:r w:rsidRPr="005E6B53">
        <w:rPr>
          <w:rFonts w:ascii="David" w:hAnsi="David" w:cs="David"/>
          <w:b/>
          <w:bCs/>
          <w:sz w:val="28"/>
          <w:szCs w:val="28"/>
          <w:u w:val="single"/>
          <w:rtl/>
        </w:rPr>
        <w:t xml:space="preserve">ביקורת מתקדמת </w:t>
      </w:r>
      <w:r w:rsidRPr="005E6B53">
        <w:rPr>
          <w:rFonts w:ascii="David" w:hAnsi="David" w:cs="David" w:hint="cs"/>
          <w:b/>
          <w:bCs/>
          <w:sz w:val="28"/>
          <w:szCs w:val="28"/>
          <w:u w:val="single"/>
          <w:rtl/>
        </w:rPr>
        <w:t>ב</w:t>
      </w:r>
      <w:r w:rsidRPr="005E6B53">
        <w:rPr>
          <w:rFonts w:ascii="David" w:hAnsi="David" w:cs="David"/>
          <w:b/>
          <w:bCs/>
          <w:sz w:val="28"/>
          <w:szCs w:val="28"/>
          <w:u w:val="single"/>
          <w:rtl/>
        </w:rPr>
        <w:t xml:space="preserve">' - שיעור </w:t>
      </w:r>
      <w:r w:rsidR="0073008A">
        <w:rPr>
          <w:rFonts w:ascii="David" w:hAnsi="David" w:cs="David" w:hint="cs"/>
          <w:b/>
          <w:bCs/>
          <w:sz w:val="28"/>
          <w:szCs w:val="28"/>
          <w:u w:val="single"/>
          <w:rtl/>
        </w:rPr>
        <w:t>4</w:t>
      </w:r>
    </w:p>
    <w:p w:rsidR="000959D1" w:rsidRDefault="000959D1" w:rsidP="005B59A8">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הנושאים להיום:</w:t>
      </w:r>
    </w:p>
    <w:p w:rsidR="000959D1" w:rsidRPr="000959D1" w:rsidRDefault="000959D1" w:rsidP="007937A2">
      <w:pPr>
        <w:pStyle w:val="a7"/>
        <w:numPr>
          <w:ilvl w:val="0"/>
          <w:numId w:val="1"/>
        </w:numPr>
        <w:spacing w:after="120" w:line="360" w:lineRule="auto"/>
        <w:jc w:val="both"/>
        <w:rPr>
          <w:rFonts w:ascii="David" w:hAnsi="David" w:cs="David" w:hint="cs"/>
          <w:sz w:val="24"/>
          <w:szCs w:val="24"/>
          <w:u w:val="single"/>
        </w:rPr>
      </w:pPr>
      <w:r>
        <w:rPr>
          <w:rFonts w:ascii="David" w:hAnsi="David" w:cs="David" w:hint="cs"/>
          <w:sz w:val="24"/>
          <w:szCs w:val="24"/>
          <w:rtl/>
        </w:rPr>
        <w:t>ת"ב 98</w:t>
      </w:r>
    </w:p>
    <w:p w:rsidR="000959D1" w:rsidRPr="000959D1" w:rsidRDefault="000959D1" w:rsidP="007937A2">
      <w:pPr>
        <w:pStyle w:val="a7"/>
        <w:numPr>
          <w:ilvl w:val="0"/>
          <w:numId w:val="1"/>
        </w:numPr>
        <w:spacing w:after="120" w:line="360" w:lineRule="auto"/>
        <w:jc w:val="both"/>
        <w:rPr>
          <w:rFonts w:ascii="David" w:hAnsi="David" w:cs="David" w:hint="cs"/>
          <w:sz w:val="24"/>
          <w:szCs w:val="24"/>
          <w:u w:val="single"/>
        </w:rPr>
      </w:pPr>
      <w:r>
        <w:rPr>
          <w:rFonts w:ascii="David" w:hAnsi="David" w:cs="David" w:hint="cs"/>
          <w:sz w:val="24"/>
          <w:szCs w:val="24"/>
          <w:rtl/>
        </w:rPr>
        <w:t xml:space="preserve">סיכוני ביקורת </w:t>
      </w:r>
    </w:p>
    <w:p w:rsidR="000959D1" w:rsidRPr="000959D1" w:rsidRDefault="000959D1" w:rsidP="007937A2">
      <w:pPr>
        <w:pStyle w:val="a7"/>
        <w:numPr>
          <w:ilvl w:val="0"/>
          <w:numId w:val="1"/>
        </w:numPr>
        <w:spacing w:after="120" w:line="360" w:lineRule="auto"/>
        <w:jc w:val="both"/>
        <w:rPr>
          <w:rFonts w:ascii="David" w:hAnsi="David" w:cs="David" w:hint="cs"/>
          <w:sz w:val="24"/>
          <w:szCs w:val="24"/>
          <w:u w:val="single"/>
        </w:rPr>
      </w:pPr>
      <w:r>
        <w:rPr>
          <w:rFonts w:ascii="David" w:hAnsi="David" w:cs="David" w:hint="cs"/>
          <w:sz w:val="24"/>
          <w:szCs w:val="24"/>
          <w:rtl/>
        </w:rPr>
        <w:t xml:space="preserve">מהותיות </w:t>
      </w:r>
    </w:p>
    <w:p w:rsidR="000959D1" w:rsidRPr="000959D1" w:rsidRDefault="000959D1" w:rsidP="005B59A8">
      <w:pPr>
        <w:spacing w:after="120" w:line="360" w:lineRule="auto"/>
        <w:jc w:val="both"/>
        <w:rPr>
          <w:rFonts w:ascii="David" w:hAnsi="David" w:cs="David"/>
          <w:sz w:val="24"/>
          <w:szCs w:val="24"/>
          <w:rtl/>
        </w:rPr>
      </w:pPr>
      <w:r w:rsidRPr="000959D1">
        <w:rPr>
          <w:rFonts w:ascii="David" w:hAnsi="David" w:cs="David" w:hint="cs"/>
          <w:sz w:val="24"/>
          <w:szCs w:val="24"/>
          <w:rtl/>
        </w:rPr>
        <w:t>-----------------------</w:t>
      </w:r>
    </w:p>
    <w:p w:rsidR="00767498" w:rsidRPr="000959D1" w:rsidRDefault="000959D1" w:rsidP="007937A2">
      <w:pPr>
        <w:pStyle w:val="a7"/>
        <w:numPr>
          <w:ilvl w:val="0"/>
          <w:numId w:val="1"/>
        </w:numPr>
        <w:spacing w:after="120" w:line="360" w:lineRule="auto"/>
        <w:jc w:val="both"/>
        <w:rPr>
          <w:rFonts w:ascii="David" w:hAnsi="David" w:cs="David" w:hint="cs"/>
          <w:b/>
          <w:bCs/>
          <w:color w:val="FF0000"/>
          <w:sz w:val="24"/>
          <w:szCs w:val="24"/>
          <w:u w:val="single"/>
        </w:rPr>
      </w:pPr>
      <w:r>
        <w:rPr>
          <w:rFonts w:ascii="David" w:hAnsi="David" w:cs="David" w:hint="cs"/>
          <w:sz w:val="24"/>
          <w:szCs w:val="24"/>
          <w:rtl/>
        </w:rPr>
        <w:t xml:space="preserve">סעיפים מרכזיים בח"ח </w:t>
      </w:r>
    </w:p>
    <w:p w:rsidR="000959D1" w:rsidRPr="000959D1" w:rsidRDefault="000959D1" w:rsidP="007937A2">
      <w:pPr>
        <w:pStyle w:val="a7"/>
        <w:numPr>
          <w:ilvl w:val="0"/>
          <w:numId w:val="1"/>
        </w:numPr>
        <w:spacing w:after="120" w:line="360" w:lineRule="auto"/>
        <w:jc w:val="both"/>
        <w:rPr>
          <w:rFonts w:ascii="David" w:hAnsi="David" w:cs="David" w:hint="cs"/>
          <w:b/>
          <w:bCs/>
          <w:color w:val="FF0000"/>
          <w:sz w:val="24"/>
          <w:szCs w:val="24"/>
          <w:u w:val="single"/>
        </w:rPr>
      </w:pPr>
      <w:r>
        <w:rPr>
          <w:rFonts w:ascii="David" w:hAnsi="David" w:cs="David" w:hint="cs"/>
          <w:sz w:val="24"/>
          <w:szCs w:val="24"/>
          <w:rtl/>
        </w:rPr>
        <w:t xml:space="preserve">תלויות </w:t>
      </w:r>
    </w:p>
    <w:p w:rsidR="000D0B98" w:rsidRPr="007F42A3" w:rsidRDefault="000D0B98" w:rsidP="005B59A8">
      <w:pPr>
        <w:spacing w:after="120" w:line="360" w:lineRule="auto"/>
        <w:jc w:val="center"/>
        <w:rPr>
          <w:rFonts w:ascii="David" w:hAnsi="David" w:cs="David"/>
          <w:b/>
          <w:bCs/>
          <w:color w:val="1F4E79" w:themeColor="accent1" w:themeShade="80"/>
          <w:sz w:val="28"/>
          <w:szCs w:val="28"/>
          <w:u w:val="single"/>
          <w:rtl/>
        </w:rPr>
      </w:pPr>
      <w:r w:rsidRPr="007F42A3">
        <w:rPr>
          <w:rFonts w:ascii="David" w:hAnsi="David" w:cs="David" w:hint="cs"/>
          <w:b/>
          <w:bCs/>
          <w:color w:val="1F4E79" w:themeColor="accent1" w:themeShade="80"/>
          <w:sz w:val="28"/>
          <w:szCs w:val="28"/>
          <w:u w:val="single"/>
          <w:rtl/>
        </w:rPr>
        <w:t xml:space="preserve">ת"ב 98 </w:t>
      </w:r>
      <w:r w:rsidRPr="007F42A3">
        <w:rPr>
          <w:rFonts w:ascii="David" w:hAnsi="David" w:cs="David"/>
          <w:b/>
          <w:bCs/>
          <w:color w:val="1F4E79" w:themeColor="accent1" w:themeShade="80"/>
          <w:sz w:val="28"/>
          <w:szCs w:val="28"/>
          <w:u w:val="single"/>
          <w:rtl/>
        </w:rPr>
        <w:t>–</w:t>
      </w:r>
      <w:r w:rsidRPr="007F42A3">
        <w:rPr>
          <w:rFonts w:ascii="David" w:hAnsi="David" w:cs="David" w:hint="cs"/>
          <w:b/>
          <w:bCs/>
          <w:color w:val="1F4E79" w:themeColor="accent1" w:themeShade="80"/>
          <w:sz w:val="28"/>
          <w:szCs w:val="28"/>
          <w:u w:val="single"/>
          <w:rtl/>
        </w:rPr>
        <w:t xml:space="preserve"> נהלי המבקר במענה לסיכונים שהוערכו</w:t>
      </w:r>
    </w:p>
    <w:p w:rsidR="000959D1" w:rsidRDefault="006209A0" w:rsidP="005B59A8">
      <w:pPr>
        <w:spacing w:after="120" w:line="360" w:lineRule="auto"/>
        <w:jc w:val="both"/>
        <w:rPr>
          <w:rFonts w:ascii="David" w:hAnsi="David" w:cs="David" w:hint="cs"/>
          <w:sz w:val="24"/>
          <w:szCs w:val="24"/>
          <w:rtl/>
        </w:rPr>
      </w:pPr>
      <w:r>
        <w:rPr>
          <w:rFonts w:ascii="David" w:hAnsi="David" w:cs="David" w:hint="cs"/>
          <w:sz w:val="24"/>
          <w:szCs w:val="24"/>
          <w:rtl/>
        </w:rPr>
        <w:t xml:space="preserve">מתבסס על </w:t>
      </w:r>
      <w:r>
        <w:rPr>
          <w:rFonts w:ascii="David" w:hAnsi="David" w:cs="David" w:hint="cs"/>
          <w:sz w:val="24"/>
          <w:szCs w:val="24"/>
        </w:rPr>
        <w:t>ISA</w:t>
      </w:r>
      <w:r>
        <w:rPr>
          <w:rFonts w:ascii="David" w:hAnsi="David" w:cs="David" w:hint="cs"/>
          <w:sz w:val="24"/>
          <w:szCs w:val="24"/>
          <w:rtl/>
        </w:rPr>
        <w:t xml:space="preserve"> מספר 330. </w:t>
      </w:r>
    </w:p>
    <w:p w:rsidR="006209A0" w:rsidRDefault="00223B71" w:rsidP="005B59A8">
      <w:pPr>
        <w:spacing w:after="120" w:line="360" w:lineRule="auto"/>
        <w:jc w:val="both"/>
        <w:rPr>
          <w:rFonts w:ascii="David" w:hAnsi="David" w:cs="David" w:hint="cs"/>
          <w:sz w:val="24"/>
          <w:szCs w:val="24"/>
          <w:rtl/>
        </w:rPr>
      </w:pPr>
      <w:r>
        <w:rPr>
          <w:rFonts w:ascii="David" w:hAnsi="David" w:cs="David" w:hint="cs"/>
          <w:sz w:val="24"/>
          <w:szCs w:val="24"/>
          <w:rtl/>
        </w:rPr>
        <w:t>בעת כניסתם לתוקף של ת"ב 93+98 בוטל ת"ב 80 שבו היתה התייחסות לסיכון הביקורת . בת"ב 80 היתה התייחסות לסיכוני הביקורת. סיכוני הביקורת נכנסו לת"ב 110 שנכנס לתוקף ב-05/14.</w:t>
      </w:r>
    </w:p>
    <w:p w:rsidR="00223B71" w:rsidRDefault="00223B71" w:rsidP="005B59A8">
      <w:pPr>
        <w:spacing w:after="120" w:line="360" w:lineRule="auto"/>
        <w:jc w:val="both"/>
        <w:rPr>
          <w:rFonts w:ascii="David" w:hAnsi="David" w:cs="David"/>
          <w:sz w:val="24"/>
          <w:szCs w:val="24"/>
          <w:rtl/>
        </w:rPr>
      </w:pPr>
      <w:r>
        <w:rPr>
          <w:rFonts w:ascii="David" w:hAnsi="David" w:cs="David" w:hint="cs"/>
          <w:sz w:val="24"/>
          <w:szCs w:val="24"/>
          <w:rtl/>
        </w:rPr>
        <w:t>בעוד שת"ב 93 קובע את החובה להבין את הגוף המבוקר</w:t>
      </w:r>
      <w:r w:rsidR="00882F98">
        <w:rPr>
          <w:rFonts w:ascii="David" w:hAnsi="David" w:cs="David" w:hint="cs"/>
          <w:sz w:val="24"/>
          <w:szCs w:val="24"/>
          <w:rtl/>
        </w:rPr>
        <w:t xml:space="preserve">, </w:t>
      </w:r>
      <w:r>
        <w:rPr>
          <w:rFonts w:ascii="David" w:hAnsi="David" w:cs="David" w:hint="cs"/>
          <w:sz w:val="24"/>
          <w:szCs w:val="24"/>
          <w:rtl/>
        </w:rPr>
        <w:t xml:space="preserve">ולהעריך את הסיכונים להצגה מוטעית מהותית, ת"ב 98 קובע כהמשך ישיר את נהלי המבקר במענה לאותם סיכונים שהוערכו. </w:t>
      </w:r>
    </w:p>
    <w:p w:rsidR="00D1057D" w:rsidRDefault="00D1057D" w:rsidP="005B59A8">
      <w:pPr>
        <w:spacing w:after="120" w:line="360" w:lineRule="auto"/>
        <w:jc w:val="both"/>
        <w:rPr>
          <w:rFonts w:ascii="David" w:hAnsi="David" w:cs="David" w:hint="cs"/>
          <w:sz w:val="24"/>
          <w:szCs w:val="24"/>
          <w:rtl/>
        </w:rPr>
      </w:pPr>
      <w:r>
        <w:rPr>
          <w:rFonts w:ascii="David" w:hAnsi="David" w:cs="David" w:hint="cs"/>
          <w:sz w:val="24"/>
          <w:szCs w:val="24"/>
          <w:rtl/>
        </w:rPr>
        <w:t xml:space="preserve">מטרת שני ת"ב 93 ו-98 היא </w:t>
      </w:r>
      <w:r>
        <w:rPr>
          <w:rFonts w:ascii="David" w:hAnsi="David" w:cs="David" w:hint="cs"/>
          <w:b/>
          <w:bCs/>
          <w:sz w:val="24"/>
          <w:szCs w:val="24"/>
          <w:rtl/>
        </w:rPr>
        <w:t xml:space="preserve">ליישם את הקביעה </w:t>
      </w:r>
      <w:r w:rsidR="009B06E2">
        <w:rPr>
          <w:rFonts w:ascii="David" w:hAnsi="David" w:cs="David" w:hint="cs"/>
          <w:b/>
          <w:bCs/>
          <w:sz w:val="24"/>
          <w:szCs w:val="24"/>
          <w:rtl/>
        </w:rPr>
        <w:t xml:space="preserve">של תקן אב בביקורת 9 </w:t>
      </w:r>
      <w:r w:rsidR="009B06E2">
        <w:rPr>
          <w:rFonts w:ascii="David" w:hAnsi="David" w:cs="David" w:hint="cs"/>
          <w:sz w:val="24"/>
          <w:szCs w:val="24"/>
          <w:rtl/>
        </w:rPr>
        <w:t>בדבר "החובה לבצע את סקר הבקרה הפנימית ולבחון את סיכון הביקורת ".</w:t>
      </w:r>
    </w:p>
    <w:p w:rsidR="009B06E2" w:rsidRDefault="009B06E2" w:rsidP="005B59A8">
      <w:pPr>
        <w:spacing w:after="120" w:line="360" w:lineRule="auto"/>
        <w:jc w:val="both"/>
        <w:rPr>
          <w:rFonts w:ascii="David" w:hAnsi="David" w:cs="David"/>
          <w:sz w:val="24"/>
          <w:szCs w:val="24"/>
          <w:rtl/>
        </w:rPr>
      </w:pPr>
      <w:r>
        <w:rPr>
          <w:rFonts w:ascii="David" w:hAnsi="David" w:cs="David" w:hint="cs"/>
          <w:sz w:val="24"/>
          <w:szCs w:val="24"/>
          <w:u w:val="single"/>
          <w:rtl/>
        </w:rPr>
        <w:t>סעיף 1:</w:t>
      </w:r>
      <w:r>
        <w:rPr>
          <w:rFonts w:ascii="David" w:hAnsi="David" w:cs="David" w:hint="cs"/>
          <w:b/>
          <w:bCs/>
          <w:sz w:val="24"/>
          <w:szCs w:val="24"/>
          <w:rtl/>
        </w:rPr>
        <w:t xml:space="preserve">מטרת ת"ב 98 : </w:t>
      </w:r>
      <w:r>
        <w:rPr>
          <w:rFonts w:ascii="David" w:hAnsi="David" w:cs="David" w:hint="cs"/>
          <w:sz w:val="24"/>
          <w:szCs w:val="24"/>
          <w:rtl/>
        </w:rPr>
        <w:t>לקבוע כללים והנחיות למתן מענה כולל וכן ליישום נהלי ביקורת נוספים במענה לסיכונים שהוערכו להצגה מוטעית מהותית ברמת הדוכ"ס וברמת המצגים בדוכ"ס בהתאם לת"ב 93.</w:t>
      </w:r>
    </w:p>
    <w:p w:rsidR="009B06E2" w:rsidRDefault="009B06E2" w:rsidP="005B59A8">
      <w:pPr>
        <w:spacing w:after="120" w:line="360" w:lineRule="auto"/>
        <w:jc w:val="both"/>
        <w:rPr>
          <w:rFonts w:ascii="David" w:hAnsi="David" w:cs="David"/>
          <w:sz w:val="24"/>
          <w:szCs w:val="24"/>
          <w:rtl/>
        </w:rPr>
      </w:pPr>
      <w:r>
        <w:rPr>
          <w:rFonts w:ascii="David" w:hAnsi="David" w:cs="David" w:hint="cs"/>
          <w:sz w:val="24"/>
          <w:szCs w:val="24"/>
          <w:rtl/>
        </w:rPr>
        <w:t xml:space="preserve">ע"מ לצמצם את סיכון הביוקורת לרמה נמוכה קבילה . </w:t>
      </w:r>
      <w:r w:rsidRPr="009B06E2">
        <w:rPr>
          <w:rFonts w:ascii="David" w:hAnsi="David" w:cs="David" w:hint="cs"/>
          <w:sz w:val="24"/>
          <w:szCs w:val="24"/>
          <w:rtl/>
        </w:rPr>
        <w:t xml:space="preserve">על המבקר  לקבוע </w:t>
      </w:r>
      <w:r w:rsidRPr="009B06E2">
        <w:rPr>
          <w:rFonts w:ascii="David" w:hAnsi="David" w:cs="David" w:hint="cs"/>
          <w:b/>
          <w:bCs/>
          <w:sz w:val="24"/>
          <w:szCs w:val="24"/>
          <w:rtl/>
        </w:rPr>
        <w:t xml:space="preserve">מענה כולל </w:t>
      </w:r>
      <w:r w:rsidRPr="009B06E2">
        <w:rPr>
          <w:rFonts w:ascii="David" w:hAnsi="David" w:cs="David" w:hint="cs"/>
          <w:sz w:val="24"/>
          <w:szCs w:val="24"/>
          <w:rtl/>
        </w:rPr>
        <w:t>לסיכונים שהוערכו</w:t>
      </w:r>
    </w:p>
    <w:p w:rsidR="009B06E2" w:rsidRDefault="009B06E2" w:rsidP="005B59A8">
      <w:pPr>
        <w:spacing w:after="120" w:line="360" w:lineRule="auto"/>
        <w:jc w:val="both"/>
        <w:rPr>
          <w:rFonts w:ascii="David" w:hAnsi="David" w:cs="David"/>
          <w:sz w:val="24"/>
          <w:szCs w:val="24"/>
          <w:rtl/>
        </w:rPr>
      </w:pPr>
      <w:r>
        <w:rPr>
          <w:rFonts w:ascii="David" w:hAnsi="David" w:cs="David" w:hint="cs"/>
          <w:sz w:val="24"/>
          <w:szCs w:val="24"/>
          <w:u w:val="single"/>
          <w:rtl/>
        </w:rPr>
        <w:t>סעיף 4  :</w:t>
      </w:r>
      <w:r w:rsidRPr="009B06E2">
        <w:rPr>
          <w:rFonts w:ascii="David" w:hAnsi="David" w:cs="David" w:hint="cs"/>
          <w:b/>
          <w:bCs/>
          <w:sz w:val="24"/>
          <w:szCs w:val="24"/>
          <w:rtl/>
        </w:rPr>
        <w:t>"</w:t>
      </w:r>
      <w:r>
        <w:rPr>
          <w:rFonts w:ascii="David" w:hAnsi="David" w:cs="David" w:hint="cs"/>
          <w:b/>
          <w:bCs/>
          <w:sz w:val="24"/>
          <w:szCs w:val="24"/>
          <w:rtl/>
        </w:rPr>
        <w:t>מענה כולל</w:t>
      </w:r>
      <w:r w:rsidRPr="009B06E2">
        <w:rPr>
          <w:rFonts w:ascii="David" w:hAnsi="David" w:cs="David" w:hint="cs"/>
          <w:b/>
          <w:bCs/>
          <w:sz w:val="24"/>
          <w:szCs w:val="24"/>
          <w:rtl/>
        </w:rPr>
        <w:t>"</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w:t>
      </w:r>
      <w:r w:rsidRPr="009B06E2">
        <w:rPr>
          <w:rFonts w:ascii="David" w:hAnsi="David" w:cs="David" w:hint="cs"/>
          <w:sz w:val="24"/>
          <w:szCs w:val="24"/>
          <w:rtl/>
        </w:rPr>
        <w:t>שמירה על ספקנות מקצועית באיסוף ראיות ביקורת</w:t>
      </w:r>
      <w:r w:rsidR="00882F98">
        <w:rPr>
          <w:rFonts w:ascii="David" w:hAnsi="David" w:cs="David" w:hint="cs"/>
          <w:sz w:val="24"/>
          <w:szCs w:val="24"/>
          <w:rtl/>
        </w:rPr>
        <w:t xml:space="preserve">, </w:t>
      </w:r>
      <w:r w:rsidRPr="009B06E2">
        <w:rPr>
          <w:rFonts w:ascii="David" w:hAnsi="David" w:cs="David" w:hint="cs"/>
          <w:sz w:val="24"/>
          <w:szCs w:val="24"/>
          <w:rtl/>
        </w:rPr>
        <w:t>מינוי אנשי צוות ביקורת מנוסים יותר ו-או בעלי כישורים מיוחדים כגון : עו"ד, שמאי, מהנדס . ו-או הגברת הפיקוח ע"י השותף האחראי על הביקורת וכו'</w:t>
      </w:r>
    </w:p>
    <w:p w:rsidR="00983853" w:rsidRDefault="009B06E2" w:rsidP="005B59A8">
      <w:pPr>
        <w:spacing w:after="120" w:line="360" w:lineRule="auto"/>
        <w:jc w:val="both"/>
        <w:rPr>
          <w:rFonts w:ascii="David" w:hAnsi="David" w:cs="David"/>
          <w:sz w:val="24"/>
          <w:szCs w:val="24"/>
          <w:rtl/>
        </w:rPr>
      </w:pPr>
      <w:r>
        <w:rPr>
          <w:rFonts w:ascii="David" w:hAnsi="David" w:cs="David" w:hint="cs"/>
          <w:sz w:val="24"/>
          <w:szCs w:val="24"/>
          <w:rtl/>
        </w:rPr>
        <w:t>הבנת המבקר את סביבת הבקרה תשפיע על הגישה שלו בעבודה . כלומר, עליו לתכן וליישם נהלי ביקורת נוספים שאופיים (בדיקות בקרה</w:t>
      </w:r>
      <w:r w:rsidR="00882F98">
        <w:rPr>
          <w:rFonts w:ascii="David" w:hAnsi="David" w:cs="David" w:hint="cs"/>
          <w:sz w:val="24"/>
          <w:szCs w:val="24"/>
          <w:rtl/>
        </w:rPr>
        <w:t xml:space="preserve">, </w:t>
      </w:r>
      <w:r>
        <w:rPr>
          <w:rFonts w:ascii="David" w:hAnsi="David" w:cs="David" w:hint="cs"/>
          <w:sz w:val="24"/>
          <w:szCs w:val="24"/>
          <w:rtl/>
        </w:rPr>
        <w:t>בדיקות מבססות</w:t>
      </w:r>
      <w:r w:rsidR="00882F98">
        <w:rPr>
          <w:rFonts w:ascii="David" w:hAnsi="David" w:cs="David" w:hint="cs"/>
          <w:sz w:val="24"/>
          <w:szCs w:val="24"/>
          <w:rtl/>
        </w:rPr>
        <w:t xml:space="preserve">, </w:t>
      </w:r>
      <w:r>
        <w:rPr>
          <w:rFonts w:ascii="David" w:hAnsi="David" w:cs="David" w:hint="cs"/>
          <w:sz w:val="24"/>
          <w:szCs w:val="24"/>
          <w:rtl/>
        </w:rPr>
        <w:t>בדיקות ידניות או ממוחשבות)</w:t>
      </w:r>
      <w:r w:rsidR="00882F98">
        <w:rPr>
          <w:rFonts w:ascii="David" w:hAnsi="David" w:cs="David" w:hint="cs"/>
          <w:sz w:val="24"/>
          <w:szCs w:val="24"/>
          <w:rtl/>
        </w:rPr>
        <w:t xml:space="preserve">, </w:t>
      </w:r>
      <w:r>
        <w:rPr>
          <w:rFonts w:ascii="David" w:hAnsi="David" w:cs="David" w:hint="cs"/>
          <w:sz w:val="24"/>
          <w:szCs w:val="24"/>
          <w:rtl/>
        </w:rPr>
        <w:t>עיתויים (ביקורת במהלך השנה המבוקרת</w:t>
      </w:r>
      <w:r w:rsidR="00882F98">
        <w:rPr>
          <w:rFonts w:ascii="David" w:hAnsi="David" w:cs="David" w:hint="cs"/>
          <w:sz w:val="24"/>
          <w:szCs w:val="24"/>
          <w:rtl/>
        </w:rPr>
        <w:t xml:space="preserve">, </w:t>
      </w:r>
      <w:r>
        <w:rPr>
          <w:rFonts w:ascii="David" w:hAnsi="David" w:cs="David" w:hint="cs"/>
          <w:sz w:val="24"/>
          <w:szCs w:val="24"/>
          <w:rtl/>
        </w:rPr>
        <w:t>אחריה</w:t>
      </w:r>
      <w:r w:rsidR="00882F98">
        <w:rPr>
          <w:rFonts w:ascii="David" w:hAnsi="David" w:cs="David" w:hint="cs"/>
          <w:sz w:val="24"/>
          <w:szCs w:val="24"/>
          <w:rtl/>
        </w:rPr>
        <w:t xml:space="preserve">, </w:t>
      </w:r>
      <w:r>
        <w:rPr>
          <w:rFonts w:ascii="David" w:hAnsi="David" w:cs="David" w:hint="cs"/>
          <w:sz w:val="24"/>
          <w:szCs w:val="24"/>
          <w:rtl/>
        </w:rPr>
        <w:t>בדיקות פתע או מתוכננות מראש)</w:t>
      </w:r>
      <w:r w:rsidR="00983853">
        <w:rPr>
          <w:rFonts w:ascii="David" w:hAnsi="David" w:cs="David" w:hint="cs"/>
          <w:sz w:val="24"/>
          <w:szCs w:val="24"/>
          <w:rtl/>
        </w:rPr>
        <w:t xml:space="preserve"> והיקפם (כמות הנהלים, דגימה או ביקורת מלאה), ייתנו מענה לסיכונים להצגה מוטעית מהותית ברמת המצגים .</w:t>
      </w:r>
    </w:p>
    <w:p w:rsidR="00983853" w:rsidRDefault="00983853" w:rsidP="005B59A8">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בדיקות של בקרות</w:t>
      </w:r>
    </w:p>
    <w:p w:rsidR="006E337C" w:rsidRDefault="00983853" w:rsidP="005B59A8">
      <w:pPr>
        <w:spacing w:after="120" w:line="360" w:lineRule="auto"/>
        <w:jc w:val="both"/>
        <w:rPr>
          <w:rFonts w:ascii="David" w:hAnsi="David" w:cs="David"/>
          <w:sz w:val="24"/>
          <w:szCs w:val="24"/>
          <w:rtl/>
        </w:rPr>
      </w:pPr>
      <w:r>
        <w:rPr>
          <w:rFonts w:ascii="David" w:hAnsi="David" w:cs="David" w:hint="cs"/>
          <w:sz w:val="24"/>
          <w:szCs w:val="24"/>
          <w:rtl/>
        </w:rPr>
        <w:t>בדיקות מסוג זה ייערכו כאשר הסיכון של המבקר גבוה יותר . למשל: כאשר הנהלים המבססים לא יכולים לספק ראיות במידה מספקת</w:t>
      </w:r>
      <w:r w:rsidR="00882F98">
        <w:rPr>
          <w:rFonts w:ascii="David" w:hAnsi="David" w:cs="David" w:hint="cs"/>
          <w:sz w:val="24"/>
          <w:szCs w:val="24"/>
          <w:rtl/>
        </w:rPr>
        <w:t xml:space="preserve">, </w:t>
      </w:r>
      <w:r>
        <w:rPr>
          <w:rFonts w:ascii="David" w:hAnsi="David" w:cs="David" w:hint="cs"/>
          <w:sz w:val="24"/>
          <w:szCs w:val="24"/>
          <w:rtl/>
        </w:rPr>
        <w:t>הרי שרו"ח יעדיף להסתמך על האפקטיביות התפעולית של אותן בקרות ואז הוא יצפה להשיג ראיות ביקורת מהימנות יותר.</w:t>
      </w:r>
      <w:r w:rsidR="006E337C">
        <w:rPr>
          <w:rFonts w:ascii="David" w:hAnsi="David" w:cs="David" w:hint="cs"/>
          <w:sz w:val="24"/>
          <w:szCs w:val="24"/>
          <w:rtl/>
        </w:rPr>
        <w:t xml:space="preserve"> </w:t>
      </w:r>
    </w:p>
    <w:p w:rsidR="00DC6CA6" w:rsidRPr="00DC6CA6" w:rsidRDefault="00DC6CA6" w:rsidP="005B59A8">
      <w:pPr>
        <w:spacing w:after="120" w:line="360" w:lineRule="auto"/>
        <w:jc w:val="both"/>
        <w:rPr>
          <w:rFonts w:ascii="David" w:hAnsi="David" w:cs="David"/>
          <w:sz w:val="24"/>
          <w:szCs w:val="24"/>
          <w:rtl/>
        </w:rPr>
      </w:pPr>
      <w:r w:rsidRPr="00DC6CA6">
        <w:rPr>
          <w:rFonts w:ascii="David" w:hAnsi="David" w:cs="David" w:hint="cs"/>
          <w:sz w:val="24"/>
          <w:szCs w:val="24"/>
          <w:rtl/>
        </w:rPr>
        <w:lastRenderedPageBreak/>
        <w:t xml:space="preserve">כך לדוגמא :  עריכת בירורים עם הגורמים המתאימים בגוף המבוקר בנוגע לנהלים שקבע הגוף המבוקר </w:t>
      </w:r>
      <w:r>
        <w:rPr>
          <w:rFonts w:ascii="David" w:hAnsi="David" w:cs="David" w:hint="cs"/>
          <w:sz w:val="24"/>
          <w:szCs w:val="24"/>
          <w:rtl/>
        </w:rPr>
        <w:t xml:space="preserve">באשר לפתיחת דברי דואר ולטיפול בתקבולי מזומנים וזאת במטרה לבחון את האפקטיביות התפעולית של הבקרות ביחס לתקבולי המזומנים . </w:t>
      </w:r>
    </w:p>
    <w:p w:rsidR="001F4061" w:rsidRPr="001F4061" w:rsidRDefault="006E337C" w:rsidP="005B59A8">
      <w:pPr>
        <w:spacing w:after="120" w:line="360" w:lineRule="auto"/>
        <w:jc w:val="both"/>
        <w:rPr>
          <w:rFonts w:ascii="David" w:hAnsi="David" w:cs="David"/>
          <w:b/>
          <w:bCs/>
          <w:sz w:val="24"/>
          <w:szCs w:val="24"/>
          <w:u w:val="single"/>
          <w:rtl/>
        </w:rPr>
      </w:pPr>
      <w:r w:rsidRPr="001F4061">
        <w:rPr>
          <w:rFonts w:ascii="David" w:hAnsi="David" w:cs="David" w:hint="cs"/>
          <w:b/>
          <w:bCs/>
          <w:sz w:val="24"/>
          <w:szCs w:val="24"/>
          <w:u w:val="single"/>
          <w:rtl/>
        </w:rPr>
        <w:t>בדיקות מבססות</w:t>
      </w:r>
    </w:p>
    <w:p w:rsidR="001F4061" w:rsidRDefault="001F4061" w:rsidP="005B59A8">
      <w:pPr>
        <w:spacing w:after="120" w:line="360" w:lineRule="auto"/>
        <w:jc w:val="both"/>
        <w:rPr>
          <w:rFonts w:ascii="David" w:hAnsi="David" w:cs="David"/>
          <w:sz w:val="24"/>
          <w:szCs w:val="24"/>
          <w:rtl/>
        </w:rPr>
      </w:pPr>
      <w:r>
        <w:rPr>
          <w:rFonts w:ascii="David" w:hAnsi="David" w:cs="David" w:hint="cs"/>
          <w:sz w:val="24"/>
          <w:szCs w:val="24"/>
          <w:rtl/>
        </w:rPr>
        <w:t>בדיקות מסוג זה מבוצעות ע"מ לשלול הצגה מוטעית מהותית ברמת המצג ויכללו : סוגי עסקאות, יתרות חשבון</w:t>
      </w:r>
      <w:r w:rsidR="00882F98">
        <w:rPr>
          <w:rFonts w:ascii="David" w:hAnsi="David" w:cs="David" w:hint="cs"/>
          <w:sz w:val="24"/>
          <w:szCs w:val="24"/>
          <w:rtl/>
        </w:rPr>
        <w:t xml:space="preserve">, </w:t>
      </w:r>
      <w:r>
        <w:rPr>
          <w:rFonts w:ascii="David" w:hAnsi="David" w:cs="David" w:hint="cs"/>
          <w:sz w:val="24"/>
          <w:szCs w:val="24"/>
          <w:rtl/>
        </w:rPr>
        <w:t>עריכת בירורים וביצוע נהלים אנליטיים . בנוסף</w:t>
      </w:r>
      <w:r w:rsidR="00882F98">
        <w:rPr>
          <w:rFonts w:ascii="David" w:hAnsi="David" w:cs="David" w:hint="cs"/>
          <w:sz w:val="24"/>
          <w:szCs w:val="24"/>
          <w:rtl/>
        </w:rPr>
        <w:t xml:space="preserve">, </w:t>
      </w:r>
      <w:r>
        <w:rPr>
          <w:rFonts w:ascii="David" w:hAnsi="David" w:cs="David" w:hint="cs"/>
          <w:sz w:val="24"/>
          <w:szCs w:val="24"/>
          <w:rtl/>
        </w:rPr>
        <w:t>הנהלים המבססים צריכים לכלול את נהלי הביקורת הבאים הקשורים לתהליך הסגירה של הדוכ"ס :</w:t>
      </w:r>
    </w:p>
    <w:p w:rsidR="001F4061" w:rsidRDefault="001F4061" w:rsidP="007937A2">
      <w:pPr>
        <w:pStyle w:val="a7"/>
        <w:numPr>
          <w:ilvl w:val="0"/>
          <w:numId w:val="2"/>
        </w:numPr>
        <w:spacing w:after="120" w:line="360" w:lineRule="auto"/>
        <w:jc w:val="both"/>
        <w:rPr>
          <w:rFonts w:ascii="David" w:hAnsi="David" w:cs="David"/>
          <w:sz w:val="24"/>
          <w:szCs w:val="24"/>
        </w:rPr>
      </w:pPr>
      <w:r>
        <w:rPr>
          <w:rFonts w:ascii="David" w:hAnsi="David" w:cs="David" w:hint="cs"/>
          <w:sz w:val="24"/>
          <w:szCs w:val="24"/>
          <w:rtl/>
        </w:rPr>
        <w:t xml:space="preserve">התאמת הדוכ"ס לרשומות החשבונאיות שמהוות בסיס להם. </w:t>
      </w:r>
    </w:p>
    <w:p w:rsidR="001F4061" w:rsidRDefault="001F4061" w:rsidP="007937A2">
      <w:pPr>
        <w:pStyle w:val="a7"/>
        <w:numPr>
          <w:ilvl w:val="0"/>
          <w:numId w:val="2"/>
        </w:numPr>
        <w:spacing w:after="120" w:line="360" w:lineRule="auto"/>
        <w:jc w:val="both"/>
        <w:rPr>
          <w:rFonts w:ascii="David" w:hAnsi="David" w:cs="David"/>
          <w:sz w:val="24"/>
          <w:szCs w:val="24"/>
        </w:rPr>
      </w:pPr>
      <w:r>
        <w:rPr>
          <w:rFonts w:ascii="David" w:hAnsi="David" w:cs="David" w:hint="cs"/>
          <w:sz w:val="24"/>
          <w:szCs w:val="24"/>
          <w:rtl/>
        </w:rPr>
        <w:t xml:space="preserve">בדיקת פק"י ופעולות נוספות מהותיות שבוצעו במהלך עריכת הדוכ"ס . </w:t>
      </w:r>
    </w:p>
    <w:p w:rsidR="001F4061" w:rsidRPr="001F4061" w:rsidRDefault="001F4061" w:rsidP="007937A2">
      <w:pPr>
        <w:pStyle w:val="a7"/>
        <w:numPr>
          <w:ilvl w:val="0"/>
          <w:numId w:val="3"/>
        </w:numPr>
        <w:spacing w:after="120" w:line="360" w:lineRule="auto"/>
        <w:jc w:val="both"/>
        <w:rPr>
          <w:rFonts w:ascii="David" w:hAnsi="David" w:cs="David"/>
          <w:b/>
          <w:bCs/>
          <w:sz w:val="24"/>
          <w:szCs w:val="24"/>
          <w:rtl/>
        </w:rPr>
      </w:pPr>
      <w:r w:rsidRPr="001F4061">
        <w:rPr>
          <w:rFonts w:ascii="David" w:hAnsi="David" w:cs="David" w:hint="cs"/>
          <w:b/>
          <w:bCs/>
          <w:sz w:val="24"/>
          <w:szCs w:val="24"/>
          <w:rtl/>
        </w:rPr>
        <w:t>אם ייקבע המבקר שהסיכון שהוערך להצגה מוטעית מהותית הוא מהותי</w:t>
      </w:r>
      <w:r w:rsidR="00882F98">
        <w:rPr>
          <w:rFonts w:ascii="David" w:hAnsi="David" w:cs="David" w:hint="cs"/>
          <w:b/>
          <w:bCs/>
          <w:sz w:val="24"/>
          <w:szCs w:val="24"/>
          <w:rtl/>
        </w:rPr>
        <w:t xml:space="preserve">, </w:t>
      </w:r>
      <w:r w:rsidRPr="001F4061">
        <w:rPr>
          <w:rFonts w:ascii="David" w:hAnsi="David" w:cs="David" w:hint="cs"/>
          <w:b/>
          <w:bCs/>
          <w:sz w:val="24"/>
          <w:szCs w:val="24"/>
          <w:rtl/>
        </w:rPr>
        <w:t xml:space="preserve">יהיה עליו לבצע נהלים מבססים </w:t>
      </w:r>
      <w:r>
        <w:rPr>
          <w:rFonts w:ascii="David" w:hAnsi="David" w:cs="David" w:hint="cs"/>
          <w:b/>
          <w:bCs/>
          <w:sz w:val="24"/>
          <w:szCs w:val="24"/>
          <w:rtl/>
        </w:rPr>
        <w:t xml:space="preserve">נוספים כמענה ספציפי לאותו סיכון . </w:t>
      </w:r>
    </w:p>
    <w:p w:rsidR="006E337C" w:rsidRDefault="001F4061" w:rsidP="005B59A8">
      <w:pPr>
        <w:spacing w:after="120" w:line="360" w:lineRule="auto"/>
        <w:jc w:val="both"/>
        <w:rPr>
          <w:rFonts w:ascii="David" w:hAnsi="David" w:cs="David" w:hint="cs"/>
          <w:sz w:val="24"/>
          <w:szCs w:val="24"/>
          <w:rtl/>
        </w:rPr>
      </w:pPr>
      <w:r>
        <w:rPr>
          <w:rFonts w:ascii="David" w:hAnsi="David" w:cs="David" w:hint="cs"/>
          <w:b/>
          <w:bCs/>
          <w:sz w:val="24"/>
          <w:szCs w:val="24"/>
          <w:rtl/>
        </w:rPr>
        <w:t xml:space="preserve">נהלים אנליטיים- </w:t>
      </w:r>
      <w:r>
        <w:rPr>
          <w:rFonts w:ascii="David" w:hAnsi="David" w:cs="David" w:hint="cs"/>
          <w:sz w:val="24"/>
          <w:szCs w:val="24"/>
          <w:rtl/>
        </w:rPr>
        <w:t xml:space="preserve">יחסים פיננסים </w:t>
      </w:r>
      <w:r>
        <w:rPr>
          <w:rFonts w:ascii="David" w:hAnsi="David" w:cs="David"/>
          <w:sz w:val="24"/>
          <w:szCs w:val="24"/>
          <w:rtl/>
        </w:rPr>
        <w:t>–</w:t>
      </w:r>
      <w:r>
        <w:rPr>
          <w:rFonts w:ascii="David" w:hAnsi="David" w:cs="David" w:hint="cs"/>
          <w:sz w:val="24"/>
          <w:szCs w:val="24"/>
          <w:rtl/>
        </w:rPr>
        <w:t xml:space="preserve"> להפוך את כל המספרים לאחוזים ע"מ שיהיו ברי השוואה לש"ק</w:t>
      </w:r>
      <w:r w:rsidR="00882F98">
        <w:rPr>
          <w:rFonts w:ascii="David" w:hAnsi="David" w:cs="David" w:hint="cs"/>
          <w:sz w:val="24"/>
          <w:szCs w:val="24"/>
          <w:rtl/>
        </w:rPr>
        <w:t xml:space="preserve">, </w:t>
      </w:r>
      <w:r>
        <w:rPr>
          <w:rFonts w:ascii="David" w:hAnsi="David" w:cs="David" w:hint="cs"/>
          <w:sz w:val="24"/>
          <w:szCs w:val="24"/>
          <w:rtl/>
        </w:rPr>
        <w:t xml:space="preserve">למקובל בענף וזאת כדי לנתח מגמות . </w:t>
      </w:r>
      <w:r w:rsidR="006E337C">
        <w:rPr>
          <w:rFonts w:ascii="David" w:hAnsi="David" w:cs="David" w:hint="cs"/>
          <w:sz w:val="24"/>
          <w:szCs w:val="24"/>
          <w:rtl/>
        </w:rPr>
        <w:t xml:space="preserve"> </w:t>
      </w:r>
    </w:p>
    <w:p w:rsidR="006E337C" w:rsidRDefault="006E337C" w:rsidP="005B59A8">
      <w:pPr>
        <w:spacing w:after="120" w:line="360" w:lineRule="auto"/>
        <w:jc w:val="both"/>
        <w:rPr>
          <w:rFonts w:ascii="David" w:hAnsi="David" w:cs="David" w:hint="cs"/>
          <w:sz w:val="24"/>
          <w:szCs w:val="24"/>
          <w:rtl/>
        </w:rPr>
      </w:pPr>
      <w:r w:rsidRPr="00DC6CA6">
        <w:rPr>
          <w:rFonts w:ascii="David" w:hAnsi="David" w:cs="David" w:hint="cs"/>
          <w:b/>
          <w:bCs/>
          <w:sz w:val="24"/>
          <w:szCs w:val="24"/>
          <w:rtl/>
        </w:rPr>
        <w:t>בדיקות בקרה-</w:t>
      </w:r>
      <w:r>
        <w:rPr>
          <w:rFonts w:ascii="David" w:hAnsi="David" w:cs="David" w:hint="cs"/>
          <w:sz w:val="24"/>
          <w:szCs w:val="24"/>
          <w:rtl/>
        </w:rPr>
        <w:t xml:space="preserve"> בודקים את התנהלות החברה לגבי הסעיפים בדוכ"ס</w:t>
      </w:r>
      <w:r w:rsidR="00882F98">
        <w:rPr>
          <w:rFonts w:ascii="David" w:hAnsi="David" w:cs="David" w:hint="cs"/>
          <w:sz w:val="24"/>
          <w:szCs w:val="24"/>
          <w:rtl/>
        </w:rPr>
        <w:t xml:space="preserve">, </w:t>
      </w:r>
      <w:r>
        <w:rPr>
          <w:rFonts w:ascii="David" w:hAnsi="David" w:cs="David" w:hint="cs"/>
          <w:sz w:val="24"/>
          <w:szCs w:val="24"/>
          <w:rtl/>
        </w:rPr>
        <w:t>האם החברה מנהלת נהלי בקרה באשר לחתימות על שיקים למשל...</w:t>
      </w:r>
    </w:p>
    <w:p w:rsidR="007F42A3" w:rsidRDefault="00625E2D" w:rsidP="005B59A8">
      <w:pPr>
        <w:spacing w:after="120" w:line="360" w:lineRule="auto"/>
        <w:jc w:val="both"/>
        <w:rPr>
          <w:rFonts w:ascii="David" w:hAnsi="David" w:cs="David"/>
          <w:sz w:val="24"/>
          <w:szCs w:val="24"/>
          <w:rtl/>
        </w:rPr>
      </w:pPr>
      <w:r>
        <w:rPr>
          <w:rFonts w:ascii="David" w:hAnsi="David" w:cs="David" w:hint="cs"/>
          <w:sz w:val="24"/>
          <w:szCs w:val="24"/>
          <w:rtl/>
        </w:rPr>
        <w:t>עיתוי ביצוע בדיקות הבקרות תלוי למשל</w:t>
      </w:r>
      <w:r w:rsidR="001F4061">
        <w:rPr>
          <w:rFonts w:ascii="David" w:hAnsi="David" w:cs="David" w:hint="cs"/>
          <w:sz w:val="24"/>
          <w:szCs w:val="24"/>
          <w:rtl/>
        </w:rPr>
        <w:t xml:space="preserve"> בתקופה הנדרשת לאיסוף הראיות . </w:t>
      </w:r>
    </w:p>
    <w:p w:rsidR="005B59A8" w:rsidRDefault="005B59A8" w:rsidP="005B59A8">
      <w:pPr>
        <w:spacing w:after="120" w:line="360" w:lineRule="auto"/>
        <w:jc w:val="center"/>
        <w:rPr>
          <w:rFonts w:ascii="David" w:hAnsi="David" w:cs="David"/>
          <w:b/>
          <w:bCs/>
          <w:color w:val="00B050"/>
          <w:sz w:val="28"/>
          <w:szCs w:val="28"/>
          <w:u w:val="single"/>
          <w:rtl/>
        </w:rPr>
      </w:pPr>
    </w:p>
    <w:p w:rsidR="005B59A8" w:rsidRDefault="005B59A8" w:rsidP="005B59A8">
      <w:pPr>
        <w:spacing w:after="120" w:line="360" w:lineRule="auto"/>
        <w:jc w:val="center"/>
        <w:rPr>
          <w:rFonts w:ascii="David" w:hAnsi="David" w:cs="David"/>
          <w:b/>
          <w:bCs/>
          <w:color w:val="00B050"/>
          <w:sz w:val="28"/>
          <w:szCs w:val="28"/>
          <w:u w:val="single"/>
          <w:rtl/>
        </w:rPr>
      </w:pPr>
    </w:p>
    <w:p w:rsidR="005B59A8" w:rsidRDefault="005B59A8" w:rsidP="005B59A8">
      <w:pPr>
        <w:spacing w:after="120" w:line="360" w:lineRule="auto"/>
        <w:jc w:val="center"/>
        <w:rPr>
          <w:rFonts w:ascii="David" w:hAnsi="David" w:cs="David"/>
          <w:b/>
          <w:bCs/>
          <w:color w:val="00B050"/>
          <w:sz w:val="28"/>
          <w:szCs w:val="28"/>
          <w:u w:val="single"/>
          <w:rtl/>
        </w:rPr>
      </w:pPr>
    </w:p>
    <w:p w:rsidR="005B59A8" w:rsidRDefault="005B59A8" w:rsidP="005B59A8">
      <w:pPr>
        <w:spacing w:after="120" w:line="360" w:lineRule="auto"/>
        <w:jc w:val="center"/>
        <w:rPr>
          <w:rFonts w:ascii="David" w:hAnsi="David" w:cs="David"/>
          <w:b/>
          <w:bCs/>
          <w:color w:val="00B050"/>
          <w:sz w:val="28"/>
          <w:szCs w:val="28"/>
          <w:u w:val="single"/>
          <w:rtl/>
        </w:rPr>
      </w:pPr>
    </w:p>
    <w:p w:rsidR="005B59A8" w:rsidRDefault="005B59A8" w:rsidP="005B59A8">
      <w:pPr>
        <w:spacing w:after="120" w:line="360" w:lineRule="auto"/>
        <w:jc w:val="center"/>
        <w:rPr>
          <w:rFonts w:ascii="David" w:hAnsi="David" w:cs="David"/>
          <w:b/>
          <w:bCs/>
          <w:color w:val="00B050"/>
          <w:sz w:val="28"/>
          <w:szCs w:val="28"/>
          <w:u w:val="single"/>
          <w:rtl/>
        </w:rPr>
      </w:pPr>
    </w:p>
    <w:p w:rsidR="005B59A8" w:rsidRDefault="005B59A8" w:rsidP="005B59A8">
      <w:pPr>
        <w:spacing w:after="120" w:line="360" w:lineRule="auto"/>
        <w:jc w:val="center"/>
        <w:rPr>
          <w:rFonts w:ascii="David" w:hAnsi="David" w:cs="David"/>
          <w:b/>
          <w:bCs/>
          <w:color w:val="00B050"/>
          <w:sz w:val="28"/>
          <w:szCs w:val="28"/>
          <w:u w:val="single"/>
          <w:rtl/>
        </w:rPr>
      </w:pPr>
    </w:p>
    <w:p w:rsidR="005B59A8" w:rsidRDefault="005B59A8" w:rsidP="005B59A8">
      <w:pPr>
        <w:spacing w:after="120" w:line="360" w:lineRule="auto"/>
        <w:jc w:val="center"/>
        <w:rPr>
          <w:rFonts w:ascii="David" w:hAnsi="David" w:cs="David"/>
          <w:b/>
          <w:bCs/>
          <w:color w:val="00B050"/>
          <w:sz w:val="28"/>
          <w:szCs w:val="28"/>
          <w:u w:val="single"/>
          <w:rtl/>
        </w:rPr>
      </w:pPr>
    </w:p>
    <w:p w:rsidR="005B59A8" w:rsidRDefault="005B59A8" w:rsidP="005B59A8">
      <w:pPr>
        <w:spacing w:after="120" w:line="360" w:lineRule="auto"/>
        <w:jc w:val="center"/>
        <w:rPr>
          <w:rFonts w:ascii="David" w:hAnsi="David" w:cs="David"/>
          <w:b/>
          <w:bCs/>
          <w:color w:val="00B050"/>
          <w:sz w:val="28"/>
          <w:szCs w:val="28"/>
          <w:u w:val="single"/>
          <w:rtl/>
        </w:rPr>
      </w:pPr>
    </w:p>
    <w:p w:rsidR="005B59A8" w:rsidRDefault="005B59A8" w:rsidP="005B59A8">
      <w:pPr>
        <w:spacing w:after="120" w:line="360" w:lineRule="auto"/>
        <w:jc w:val="center"/>
        <w:rPr>
          <w:rFonts w:ascii="David" w:hAnsi="David" w:cs="David"/>
          <w:b/>
          <w:bCs/>
          <w:color w:val="00B050"/>
          <w:sz w:val="28"/>
          <w:szCs w:val="28"/>
          <w:u w:val="single"/>
          <w:rtl/>
        </w:rPr>
      </w:pPr>
    </w:p>
    <w:p w:rsidR="005B59A8" w:rsidRDefault="005B59A8" w:rsidP="005B59A8">
      <w:pPr>
        <w:spacing w:after="120" w:line="360" w:lineRule="auto"/>
        <w:jc w:val="center"/>
        <w:rPr>
          <w:rFonts w:ascii="David" w:hAnsi="David" w:cs="David"/>
          <w:b/>
          <w:bCs/>
          <w:color w:val="00B050"/>
          <w:sz w:val="28"/>
          <w:szCs w:val="28"/>
          <w:u w:val="single"/>
          <w:rtl/>
        </w:rPr>
      </w:pPr>
    </w:p>
    <w:p w:rsidR="005B59A8" w:rsidRDefault="005B59A8" w:rsidP="005B59A8">
      <w:pPr>
        <w:spacing w:after="120" w:line="360" w:lineRule="auto"/>
        <w:jc w:val="center"/>
        <w:rPr>
          <w:rFonts w:ascii="David" w:hAnsi="David" w:cs="David"/>
          <w:b/>
          <w:bCs/>
          <w:color w:val="00B050"/>
          <w:sz w:val="28"/>
          <w:szCs w:val="28"/>
          <w:u w:val="single"/>
          <w:rtl/>
        </w:rPr>
      </w:pPr>
    </w:p>
    <w:p w:rsidR="005B59A8" w:rsidRDefault="005B59A8" w:rsidP="005B59A8">
      <w:pPr>
        <w:spacing w:after="120" w:line="360" w:lineRule="auto"/>
        <w:jc w:val="center"/>
        <w:rPr>
          <w:rFonts w:ascii="David" w:hAnsi="David" w:cs="David"/>
          <w:b/>
          <w:bCs/>
          <w:color w:val="00B050"/>
          <w:sz w:val="28"/>
          <w:szCs w:val="28"/>
          <w:u w:val="single"/>
          <w:rtl/>
        </w:rPr>
      </w:pPr>
    </w:p>
    <w:p w:rsidR="005B59A8" w:rsidRDefault="005B59A8" w:rsidP="005B59A8">
      <w:pPr>
        <w:spacing w:after="120" w:line="360" w:lineRule="auto"/>
        <w:jc w:val="center"/>
        <w:rPr>
          <w:rFonts w:ascii="David" w:hAnsi="David" w:cs="David"/>
          <w:b/>
          <w:bCs/>
          <w:color w:val="00B050"/>
          <w:sz w:val="28"/>
          <w:szCs w:val="28"/>
          <w:u w:val="single"/>
          <w:rtl/>
        </w:rPr>
      </w:pPr>
    </w:p>
    <w:p w:rsidR="005B59A8" w:rsidRDefault="005B59A8" w:rsidP="005B59A8">
      <w:pPr>
        <w:spacing w:after="120" w:line="360" w:lineRule="auto"/>
        <w:jc w:val="center"/>
        <w:rPr>
          <w:rFonts w:ascii="David" w:hAnsi="David" w:cs="David"/>
          <w:b/>
          <w:bCs/>
          <w:color w:val="00B050"/>
          <w:sz w:val="28"/>
          <w:szCs w:val="28"/>
          <w:u w:val="single"/>
          <w:rtl/>
        </w:rPr>
      </w:pPr>
    </w:p>
    <w:p w:rsidR="007F42A3" w:rsidRDefault="007F42A3" w:rsidP="005B59A8">
      <w:pPr>
        <w:spacing w:after="120" w:line="360" w:lineRule="auto"/>
        <w:jc w:val="center"/>
        <w:rPr>
          <w:rFonts w:ascii="David" w:hAnsi="David" w:cs="David"/>
          <w:b/>
          <w:bCs/>
          <w:color w:val="00B050"/>
          <w:sz w:val="28"/>
          <w:szCs w:val="28"/>
          <w:u w:val="single"/>
          <w:rtl/>
        </w:rPr>
      </w:pPr>
      <w:r>
        <w:rPr>
          <w:rFonts w:ascii="David" w:hAnsi="David" w:cs="David" w:hint="cs"/>
          <w:b/>
          <w:bCs/>
          <w:color w:val="00B050"/>
          <w:sz w:val="28"/>
          <w:szCs w:val="28"/>
          <w:u w:val="single"/>
          <w:rtl/>
        </w:rPr>
        <w:lastRenderedPageBreak/>
        <w:t xml:space="preserve">סיכוני ביקורת </w:t>
      </w:r>
      <w:r>
        <w:rPr>
          <w:rFonts w:ascii="David" w:hAnsi="David" w:cs="David"/>
          <w:b/>
          <w:bCs/>
          <w:color w:val="00B050"/>
          <w:sz w:val="28"/>
          <w:szCs w:val="28"/>
          <w:u w:val="single"/>
          <w:rtl/>
        </w:rPr>
        <w:t>–</w:t>
      </w:r>
      <w:r>
        <w:rPr>
          <w:rFonts w:ascii="David" w:hAnsi="David" w:cs="David" w:hint="cs"/>
          <w:b/>
          <w:bCs/>
          <w:color w:val="00B050"/>
          <w:sz w:val="28"/>
          <w:szCs w:val="28"/>
          <w:u w:val="single"/>
          <w:rtl/>
        </w:rPr>
        <w:t xml:space="preserve"> תקן ביקורת 110 (05/14)</w:t>
      </w:r>
    </w:p>
    <w:p w:rsidR="007F42A3" w:rsidRDefault="007F42A3" w:rsidP="005B59A8">
      <w:pPr>
        <w:spacing w:after="120" w:line="360" w:lineRule="auto"/>
        <w:jc w:val="both"/>
        <w:rPr>
          <w:rFonts w:ascii="David" w:hAnsi="David" w:cs="David" w:hint="cs"/>
          <w:sz w:val="24"/>
          <w:szCs w:val="24"/>
          <w:rtl/>
        </w:rPr>
      </w:pPr>
      <w:r>
        <w:rPr>
          <w:rFonts w:ascii="David" w:hAnsi="David" w:cs="David" w:hint="cs"/>
          <w:sz w:val="24"/>
          <w:szCs w:val="24"/>
          <w:rtl/>
        </w:rPr>
        <w:t xml:space="preserve">עפ"י ת"ב 93 רו"ח חייב לשקול נסיבות שונות אשר יכולות להשפיע על הצגה מוטעית מהותית ובין היתר: </w:t>
      </w:r>
    </w:p>
    <w:p w:rsidR="007F42A3" w:rsidRDefault="007F42A3" w:rsidP="007937A2">
      <w:pPr>
        <w:pStyle w:val="a7"/>
        <w:numPr>
          <w:ilvl w:val="0"/>
          <w:numId w:val="4"/>
        </w:numPr>
        <w:spacing w:after="120" w:line="360" w:lineRule="auto"/>
        <w:jc w:val="both"/>
        <w:rPr>
          <w:rFonts w:ascii="David" w:hAnsi="David" w:cs="David"/>
          <w:sz w:val="24"/>
          <w:szCs w:val="24"/>
        </w:rPr>
      </w:pPr>
      <w:r>
        <w:rPr>
          <w:rFonts w:ascii="David" w:hAnsi="David" w:cs="David" w:hint="cs"/>
          <w:sz w:val="24"/>
          <w:szCs w:val="24"/>
          <w:rtl/>
        </w:rPr>
        <w:t>מ"מ חדשות או משופרות בעסק (בעיקר בתקופת המעבר)</w:t>
      </w:r>
    </w:p>
    <w:p w:rsidR="007F42A3" w:rsidRDefault="007F42A3" w:rsidP="007937A2">
      <w:pPr>
        <w:pStyle w:val="a7"/>
        <w:numPr>
          <w:ilvl w:val="0"/>
          <w:numId w:val="4"/>
        </w:numPr>
        <w:spacing w:after="120" w:line="360" w:lineRule="auto"/>
        <w:jc w:val="both"/>
        <w:rPr>
          <w:rFonts w:ascii="David" w:hAnsi="David" w:cs="David" w:hint="cs"/>
          <w:sz w:val="24"/>
          <w:szCs w:val="24"/>
        </w:rPr>
      </w:pPr>
      <w:r>
        <w:rPr>
          <w:rFonts w:ascii="David" w:hAnsi="David" w:cs="David" w:hint="cs"/>
          <w:sz w:val="24"/>
          <w:szCs w:val="24"/>
          <w:rtl/>
        </w:rPr>
        <w:t>צמיחה מהירה מאד של עסק</w:t>
      </w:r>
    </w:p>
    <w:p w:rsidR="007F42A3" w:rsidRDefault="007F42A3" w:rsidP="007937A2">
      <w:pPr>
        <w:pStyle w:val="a7"/>
        <w:numPr>
          <w:ilvl w:val="0"/>
          <w:numId w:val="4"/>
        </w:numPr>
        <w:spacing w:after="120" w:line="360" w:lineRule="auto"/>
        <w:jc w:val="both"/>
        <w:rPr>
          <w:rFonts w:ascii="David" w:hAnsi="David" w:cs="David" w:hint="cs"/>
          <w:sz w:val="24"/>
          <w:szCs w:val="24"/>
        </w:rPr>
      </w:pPr>
      <w:r>
        <w:rPr>
          <w:rFonts w:ascii="David" w:hAnsi="David" w:cs="David" w:hint="cs"/>
          <w:sz w:val="24"/>
          <w:szCs w:val="24"/>
          <w:rtl/>
        </w:rPr>
        <w:t xml:space="preserve">מוצרים חדשים או פעילויות חדשות </w:t>
      </w:r>
    </w:p>
    <w:p w:rsidR="007F42A3" w:rsidRDefault="007F42A3" w:rsidP="007937A2">
      <w:pPr>
        <w:pStyle w:val="a7"/>
        <w:numPr>
          <w:ilvl w:val="0"/>
          <w:numId w:val="4"/>
        </w:numPr>
        <w:spacing w:after="120" w:line="360" w:lineRule="auto"/>
        <w:jc w:val="both"/>
        <w:rPr>
          <w:rFonts w:ascii="David" w:hAnsi="David" w:cs="David" w:hint="cs"/>
          <w:sz w:val="24"/>
          <w:szCs w:val="24"/>
        </w:rPr>
      </w:pPr>
      <w:r>
        <w:rPr>
          <w:rFonts w:ascii="David" w:hAnsi="David" w:cs="David" w:hint="cs"/>
          <w:sz w:val="24"/>
          <w:szCs w:val="24"/>
          <w:rtl/>
        </w:rPr>
        <w:t xml:space="preserve">שינויים מבניים בתאגיד כגון: מינוי מנכ"ל חדש </w:t>
      </w:r>
    </w:p>
    <w:p w:rsidR="007F42A3" w:rsidRDefault="007F42A3" w:rsidP="007937A2">
      <w:pPr>
        <w:pStyle w:val="a7"/>
        <w:numPr>
          <w:ilvl w:val="0"/>
          <w:numId w:val="4"/>
        </w:numPr>
        <w:spacing w:after="120" w:line="360" w:lineRule="auto"/>
        <w:jc w:val="both"/>
        <w:rPr>
          <w:rFonts w:ascii="David" w:hAnsi="David" w:cs="David" w:hint="cs"/>
          <w:sz w:val="24"/>
          <w:szCs w:val="24"/>
        </w:rPr>
      </w:pPr>
      <w:r>
        <w:rPr>
          <w:rFonts w:ascii="David" w:hAnsi="David" w:cs="David" w:hint="cs"/>
          <w:sz w:val="24"/>
          <w:szCs w:val="24"/>
          <w:rtl/>
        </w:rPr>
        <w:t>צוות עובדים חדש שלא בהכרח מיומן</w:t>
      </w:r>
    </w:p>
    <w:p w:rsidR="007F42A3" w:rsidRDefault="007F42A3" w:rsidP="007937A2">
      <w:pPr>
        <w:pStyle w:val="a7"/>
        <w:numPr>
          <w:ilvl w:val="0"/>
          <w:numId w:val="4"/>
        </w:numPr>
        <w:spacing w:after="120" w:line="360" w:lineRule="auto"/>
        <w:jc w:val="both"/>
        <w:rPr>
          <w:rFonts w:ascii="David" w:hAnsi="David" w:cs="David" w:hint="cs"/>
          <w:sz w:val="24"/>
          <w:szCs w:val="24"/>
        </w:rPr>
      </w:pPr>
      <w:r>
        <w:rPr>
          <w:rFonts w:ascii="David" w:hAnsi="David" w:cs="David" w:hint="cs"/>
          <w:sz w:val="24"/>
          <w:szCs w:val="24"/>
          <w:rtl/>
        </w:rPr>
        <w:t xml:space="preserve">פרסומים חשבונאיים חדשים כגון תקן חשבונאות חדש </w:t>
      </w:r>
    </w:p>
    <w:p w:rsidR="007F42A3" w:rsidRDefault="007F42A3" w:rsidP="005B59A8">
      <w:pPr>
        <w:pStyle w:val="a7"/>
        <w:spacing w:after="120" w:line="360" w:lineRule="auto"/>
        <w:jc w:val="both"/>
        <w:rPr>
          <w:rFonts w:ascii="David" w:hAnsi="David" w:cs="David"/>
          <w:sz w:val="24"/>
          <w:szCs w:val="24"/>
          <w:rtl/>
        </w:rPr>
      </w:pPr>
      <w:r>
        <w:rPr>
          <w:rFonts w:ascii="David" w:hAnsi="David" w:cs="David" w:hint="cs"/>
          <w:sz w:val="24"/>
          <w:szCs w:val="24"/>
          <w:rtl/>
        </w:rPr>
        <w:t>ועוד...</w:t>
      </w:r>
    </w:p>
    <w:p w:rsidR="00A84ADA" w:rsidRDefault="00A84ADA" w:rsidP="005B59A8">
      <w:pPr>
        <w:spacing w:after="120" w:line="360" w:lineRule="auto"/>
        <w:jc w:val="both"/>
        <w:rPr>
          <w:rFonts w:ascii="David" w:hAnsi="David" w:cs="David"/>
          <w:sz w:val="24"/>
          <w:szCs w:val="24"/>
          <w:rtl/>
        </w:rPr>
      </w:pPr>
      <w:r>
        <w:rPr>
          <w:rFonts w:ascii="David" w:hAnsi="David" w:cs="David" w:hint="cs"/>
          <w:sz w:val="24"/>
          <w:szCs w:val="24"/>
          <w:rtl/>
        </w:rPr>
        <w:t xml:space="preserve">סיכון ביקורת (ההגדרות בס' 13 לת"ב 110 ובדברי הסבר א32- דברי הסבר על התקן ת"ב 110 מבוסס על </w:t>
      </w:r>
      <w:r>
        <w:rPr>
          <w:rFonts w:ascii="David" w:hAnsi="David" w:cs="David" w:hint="cs"/>
          <w:sz w:val="24"/>
          <w:szCs w:val="24"/>
        </w:rPr>
        <w:t>ISA</w:t>
      </w:r>
      <w:r>
        <w:rPr>
          <w:rFonts w:ascii="David" w:hAnsi="David" w:cs="David" w:hint="cs"/>
          <w:sz w:val="24"/>
          <w:szCs w:val="24"/>
          <w:rtl/>
        </w:rPr>
        <w:t xml:space="preserve"> באירופה הם אוהבים לקחת נושא בס' אחד ואת ההמשך שלו</w:t>
      </w:r>
      <w:r w:rsidR="00882F98">
        <w:rPr>
          <w:rFonts w:ascii="David" w:hAnsi="David" w:cs="David" w:hint="cs"/>
          <w:sz w:val="24"/>
          <w:szCs w:val="24"/>
          <w:rtl/>
        </w:rPr>
        <w:t xml:space="preserve">, </w:t>
      </w:r>
      <w:r>
        <w:rPr>
          <w:rFonts w:ascii="David" w:hAnsi="David" w:cs="David" w:hint="cs"/>
          <w:sz w:val="24"/>
          <w:szCs w:val="24"/>
          <w:rtl/>
        </w:rPr>
        <w:t>ההסבר שלו הם רושמים ב-</w:t>
      </w:r>
      <w:r>
        <w:rPr>
          <w:rFonts w:ascii="David" w:hAnsi="David" w:cs="David" w:hint="cs"/>
          <w:sz w:val="24"/>
          <w:szCs w:val="24"/>
        </w:rPr>
        <w:t>A</w:t>
      </w:r>
      <w:r>
        <w:rPr>
          <w:rFonts w:ascii="David" w:hAnsi="David" w:cs="David" w:hint="cs"/>
          <w:sz w:val="24"/>
          <w:szCs w:val="24"/>
          <w:rtl/>
        </w:rPr>
        <w:t xml:space="preserve"> הם עובדים בשיטה שההסבר לתקן הוא מופיע לאחר התקן .) זה הסיכון שרו"ח המבקר ייתן חוו"ד </w:t>
      </w:r>
      <w:r>
        <w:rPr>
          <w:rFonts w:ascii="David" w:hAnsi="David" w:cs="David" w:hint="cs"/>
          <w:b/>
          <w:bCs/>
          <w:sz w:val="24"/>
          <w:szCs w:val="24"/>
          <w:rtl/>
        </w:rPr>
        <w:t xml:space="preserve">בלתי ראויה </w:t>
      </w:r>
      <w:r>
        <w:rPr>
          <w:rFonts w:ascii="David" w:hAnsi="David" w:cs="David" w:hint="cs"/>
          <w:sz w:val="24"/>
          <w:szCs w:val="24"/>
          <w:rtl/>
        </w:rPr>
        <w:t>אשר אינה נותנת ביטוי לכך שיש בדוכ"ס הצגה מוטעית מהותית. (ההגדרה מתייחסת למסלול חשבונאות בלבד ולא להגבלה בביקורת) בוועדה לת"ב יש מחלוקת בשאלה האם ההגדרה כוללת גם היבטי ביקורת ולא רק היבטי חשבונאות.</w:t>
      </w:r>
    </w:p>
    <w:p w:rsidR="00A84ADA" w:rsidRDefault="00A84ADA" w:rsidP="005B59A8">
      <w:pPr>
        <w:spacing w:after="120" w:line="360" w:lineRule="auto"/>
        <w:jc w:val="both"/>
        <w:rPr>
          <w:rFonts w:ascii="David" w:hAnsi="David" w:cs="David" w:hint="cs"/>
          <w:sz w:val="24"/>
          <w:szCs w:val="24"/>
          <w:rtl/>
        </w:rPr>
      </w:pPr>
      <w:r>
        <w:rPr>
          <w:rFonts w:ascii="David" w:hAnsi="David" w:cs="David" w:hint="cs"/>
          <w:sz w:val="24"/>
          <w:szCs w:val="24"/>
          <w:rtl/>
        </w:rPr>
        <w:t>סיכון הביקורת הוא פונקציה של הסיכונים להצגה מוטעית מהותית (סיכונים אלה הינם הסיכון המובנה וסיכון הבקרה וכן סיכון אי זיהוי) .</w:t>
      </w:r>
    </w:p>
    <w:p w:rsidR="00B12010" w:rsidRDefault="00A84ADA" w:rsidP="005B59A8">
      <w:pPr>
        <w:spacing w:after="120" w:line="360" w:lineRule="auto"/>
        <w:jc w:val="both"/>
        <w:rPr>
          <w:rFonts w:ascii="David" w:hAnsi="David" w:cs="David"/>
          <w:sz w:val="24"/>
          <w:szCs w:val="24"/>
          <w:rtl/>
        </w:rPr>
      </w:pPr>
      <w:r>
        <w:rPr>
          <w:rFonts w:ascii="David" w:hAnsi="David" w:cs="David" w:hint="cs"/>
          <w:sz w:val="24"/>
          <w:szCs w:val="24"/>
        </w:rPr>
        <w:t>IR</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Pr>
        <w:t>INHERENT RISK</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סיכון מובנה הרגישות של מצג לגבי סוג עסקה (רוה"ס), יתרת חשבון או גילוי (ביאור) להצגה מוטעית שיכולה להיות מהותית, יש לשים לב שהיא רק יכולה להיות מהותית, מדברים על מידת הרגישות של הסעיף. בין כשהיא יכולה להיות מהותית</w:t>
      </w:r>
      <w:r w:rsidR="00882F98">
        <w:rPr>
          <w:rFonts w:ascii="David" w:hAnsi="David" w:cs="David" w:hint="cs"/>
          <w:sz w:val="24"/>
          <w:szCs w:val="24"/>
          <w:rtl/>
        </w:rPr>
        <w:t xml:space="preserve">, </w:t>
      </w:r>
      <w:r>
        <w:rPr>
          <w:rFonts w:ascii="David" w:hAnsi="David" w:cs="David" w:hint="cs"/>
          <w:sz w:val="24"/>
          <w:szCs w:val="24"/>
          <w:rtl/>
        </w:rPr>
        <w:t xml:space="preserve">בין כשהיא נשקלת במצטבר עם הצגות מוטעות אחרות ובין כשהיא נשקלת בנפרד לפני שמובאות בחשבון בקרות אחרות כלשהן. </w:t>
      </w:r>
    </w:p>
    <w:p w:rsidR="00F2636A" w:rsidRDefault="00B12010" w:rsidP="005B59A8">
      <w:pPr>
        <w:spacing w:after="120" w:line="360" w:lineRule="auto"/>
        <w:jc w:val="both"/>
        <w:rPr>
          <w:rFonts w:ascii="David" w:hAnsi="David" w:cs="David" w:hint="cs"/>
          <w:sz w:val="24"/>
          <w:szCs w:val="24"/>
          <w:rtl/>
        </w:rPr>
      </w:pPr>
      <w:r>
        <w:rPr>
          <w:rFonts w:ascii="David" w:hAnsi="David" w:cs="David" w:hint="cs"/>
          <w:sz w:val="24"/>
          <w:szCs w:val="24"/>
        </w:rPr>
        <w:t>CR</w:t>
      </w:r>
      <w:r>
        <w:rPr>
          <w:rFonts w:ascii="David" w:hAnsi="David" w:cs="David" w:hint="cs"/>
          <w:sz w:val="24"/>
          <w:szCs w:val="24"/>
          <w:rtl/>
        </w:rPr>
        <w:t>- (</w:t>
      </w:r>
      <w:r>
        <w:rPr>
          <w:rFonts w:ascii="David" w:hAnsi="David" w:cs="David" w:hint="cs"/>
          <w:sz w:val="24"/>
          <w:szCs w:val="24"/>
        </w:rPr>
        <w:t>CONTROL RISK</w:t>
      </w:r>
      <w:r>
        <w:rPr>
          <w:rFonts w:ascii="David" w:hAnsi="David" w:cs="David" w:hint="cs"/>
          <w:sz w:val="24"/>
          <w:szCs w:val="24"/>
          <w:rtl/>
        </w:rPr>
        <w:t xml:space="preserve">) סיכון בקרה </w:t>
      </w:r>
      <w:r>
        <w:rPr>
          <w:rFonts w:ascii="David" w:hAnsi="David" w:cs="David"/>
          <w:sz w:val="24"/>
          <w:szCs w:val="24"/>
          <w:rtl/>
        </w:rPr>
        <w:t>–</w:t>
      </w:r>
      <w:r>
        <w:rPr>
          <w:rFonts w:ascii="David" w:hAnsi="David" w:cs="David" w:hint="cs"/>
          <w:sz w:val="24"/>
          <w:szCs w:val="24"/>
          <w:rtl/>
        </w:rPr>
        <w:t xml:space="preserve"> הסיכון לכך שהצגה מוטעית שיכולה להיות במצג לגבי סוג עסקה</w:t>
      </w:r>
      <w:r w:rsidR="00882F98">
        <w:rPr>
          <w:rFonts w:ascii="David" w:hAnsi="David" w:cs="David" w:hint="cs"/>
          <w:sz w:val="24"/>
          <w:szCs w:val="24"/>
          <w:rtl/>
        </w:rPr>
        <w:t xml:space="preserve">, </w:t>
      </w:r>
      <w:r>
        <w:rPr>
          <w:rFonts w:ascii="David" w:hAnsi="David" w:cs="David" w:hint="cs"/>
          <w:sz w:val="24"/>
          <w:szCs w:val="24"/>
          <w:rtl/>
        </w:rPr>
        <w:t xml:space="preserve">יתרת חשבון או גילוי </w:t>
      </w:r>
      <w:r w:rsidR="00F2636A">
        <w:rPr>
          <w:rFonts w:ascii="David" w:hAnsi="David" w:cs="David" w:hint="cs"/>
          <w:sz w:val="24"/>
          <w:szCs w:val="24"/>
          <w:rtl/>
        </w:rPr>
        <w:t>ושיכולה להיות מהותית בין כשהיא נשקלת בנפרד ובין כשהיא נשקלת במצטבר עם הצגות אחרות</w:t>
      </w:r>
      <w:r w:rsidR="00882F98">
        <w:rPr>
          <w:rFonts w:ascii="David" w:hAnsi="David" w:cs="David" w:hint="cs"/>
          <w:sz w:val="24"/>
          <w:szCs w:val="24"/>
          <w:rtl/>
        </w:rPr>
        <w:t xml:space="preserve">, </w:t>
      </w:r>
      <w:r w:rsidR="00F2636A">
        <w:rPr>
          <w:rFonts w:ascii="David" w:hAnsi="David" w:cs="David" w:hint="cs"/>
          <w:sz w:val="24"/>
          <w:szCs w:val="24"/>
          <w:rtl/>
        </w:rPr>
        <w:t xml:space="preserve">לא תימנע במועד או שלא תזוהה ותתוקן במועד ע"י הבקרה הפנימית של הישות . </w:t>
      </w:r>
    </w:p>
    <w:p w:rsidR="00C67268" w:rsidRDefault="00F2636A" w:rsidP="005B59A8">
      <w:pPr>
        <w:spacing w:after="120" w:line="360" w:lineRule="auto"/>
        <w:jc w:val="both"/>
        <w:rPr>
          <w:rFonts w:ascii="David" w:hAnsi="David" w:cs="David"/>
          <w:sz w:val="24"/>
          <w:szCs w:val="24"/>
          <w:rtl/>
        </w:rPr>
      </w:pPr>
      <w:r>
        <w:rPr>
          <w:rFonts w:ascii="David" w:hAnsi="David" w:cs="David" w:hint="cs"/>
          <w:sz w:val="24"/>
          <w:szCs w:val="24"/>
        </w:rPr>
        <w:t>DR</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Pr>
        <w:t>D</w:t>
      </w:r>
      <w:r>
        <w:rPr>
          <w:rFonts w:ascii="David" w:hAnsi="David" w:cs="David"/>
          <w:sz w:val="24"/>
          <w:szCs w:val="24"/>
        </w:rPr>
        <w:t>etection Risk</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 xml:space="preserve"> - סיכון אי זיהוי </w:t>
      </w:r>
      <w:r>
        <w:rPr>
          <w:rFonts w:ascii="David" w:hAnsi="David" w:cs="David"/>
          <w:sz w:val="24"/>
          <w:szCs w:val="24"/>
          <w:rtl/>
        </w:rPr>
        <w:t>–</w:t>
      </w:r>
      <w:r>
        <w:rPr>
          <w:rFonts w:ascii="David" w:hAnsi="David" w:cs="David" w:hint="cs"/>
          <w:sz w:val="24"/>
          <w:szCs w:val="24"/>
          <w:rtl/>
        </w:rPr>
        <w:t xml:space="preserve"> הסיכון שהנהלים המבוצעים ע"י רו"ח המבקר כדי להקטין את סיכון הביקורת לרמה נמוכה קבילה, לא יזהו הצגה מוטעית שקיימת ויכולה להיות מהותית בין כשהיא נשקלת בנפרד ובין כשהיא נשקלת במצטבר עם הצגות מוטעות אחרות . </w:t>
      </w:r>
    </w:p>
    <w:p w:rsidR="00C67268" w:rsidRDefault="00C67268" w:rsidP="005B59A8">
      <w:pPr>
        <w:spacing w:after="120" w:line="360" w:lineRule="auto"/>
        <w:jc w:val="both"/>
        <w:rPr>
          <w:rFonts w:ascii="David" w:hAnsi="David" w:cs="David"/>
          <w:sz w:val="24"/>
          <w:szCs w:val="24"/>
          <w:rtl/>
        </w:rPr>
      </w:pPr>
      <w:r>
        <w:rPr>
          <w:rFonts w:ascii="David" w:hAnsi="David" w:cs="David" w:hint="cs"/>
          <w:sz w:val="24"/>
          <w:szCs w:val="24"/>
          <w:rtl/>
        </w:rPr>
        <w:t>להלן טבלה המרכזת את יחסי הגומלין בין המשתנים :</w:t>
      </w:r>
    </w:p>
    <w:p w:rsidR="005B59A8" w:rsidRDefault="005B59A8" w:rsidP="005B59A8">
      <w:pPr>
        <w:spacing w:after="120" w:line="360" w:lineRule="auto"/>
        <w:jc w:val="both"/>
        <w:rPr>
          <w:rFonts w:ascii="David" w:hAnsi="David" w:cs="David"/>
          <w:sz w:val="24"/>
          <w:szCs w:val="24"/>
          <w:rtl/>
        </w:rPr>
      </w:pPr>
    </w:p>
    <w:p w:rsidR="005B59A8" w:rsidRDefault="005B59A8" w:rsidP="005B59A8">
      <w:pPr>
        <w:spacing w:after="120" w:line="360" w:lineRule="auto"/>
        <w:jc w:val="both"/>
        <w:rPr>
          <w:rFonts w:ascii="David" w:hAnsi="David" w:cs="David"/>
          <w:sz w:val="24"/>
          <w:szCs w:val="24"/>
          <w:rtl/>
        </w:rPr>
      </w:pPr>
    </w:p>
    <w:p w:rsidR="005B59A8" w:rsidRDefault="005B59A8" w:rsidP="005B59A8">
      <w:pPr>
        <w:spacing w:after="120" w:line="360" w:lineRule="auto"/>
        <w:jc w:val="both"/>
        <w:rPr>
          <w:rFonts w:ascii="David" w:hAnsi="David" w:cs="David"/>
          <w:sz w:val="24"/>
          <w:szCs w:val="24"/>
          <w:rtl/>
        </w:rPr>
      </w:pPr>
    </w:p>
    <w:p w:rsidR="005B59A8" w:rsidRDefault="005B59A8" w:rsidP="005B59A8">
      <w:pPr>
        <w:spacing w:after="120" w:line="360" w:lineRule="auto"/>
        <w:jc w:val="both"/>
        <w:rPr>
          <w:rFonts w:ascii="David" w:hAnsi="David" w:cs="David"/>
          <w:sz w:val="24"/>
          <w:szCs w:val="24"/>
          <w:rtl/>
        </w:rPr>
      </w:pPr>
    </w:p>
    <w:p w:rsidR="00C67268" w:rsidRPr="00C67268" w:rsidRDefault="00C67268" w:rsidP="005B59A8">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lastRenderedPageBreak/>
        <w:t xml:space="preserve">תוכן הטבלה </w:t>
      </w:r>
      <w:r>
        <w:rPr>
          <w:rFonts w:ascii="David" w:hAnsi="David" w:cs="David" w:hint="cs"/>
          <w:b/>
          <w:bCs/>
          <w:sz w:val="24"/>
          <w:szCs w:val="24"/>
          <w:u w:val="single"/>
        </w:rPr>
        <w:t>DR</w:t>
      </w:r>
    </w:p>
    <w:tbl>
      <w:tblPr>
        <w:tblStyle w:val="ab"/>
        <w:bidiVisual/>
        <w:tblW w:w="0" w:type="auto"/>
        <w:tblLook w:val="04A0" w:firstRow="1" w:lastRow="0" w:firstColumn="1" w:lastColumn="0" w:noHBand="0" w:noVBand="1"/>
      </w:tblPr>
      <w:tblGrid>
        <w:gridCol w:w="563"/>
        <w:gridCol w:w="771"/>
        <w:gridCol w:w="1179"/>
        <w:gridCol w:w="715"/>
        <w:gridCol w:w="1179"/>
      </w:tblGrid>
      <w:tr w:rsidR="0063219D" w:rsidTr="0063219D">
        <w:trPr>
          <w:trHeight w:val="820"/>
        </w:trPr>
        <w:tc>
          <w:tcPr>
            <w:tcW w:w="0" w:type="auto"/>
            <w:tcBorders>
              <w:top w:val="single" w:sz="4" w:space="0" w:color="auto"/>
              <w:left w:val="single" w:sz="4" w:space="0" w:color="auto"/>
              <w:right w:val="single" w:sz="4" w:space="0" w:color="auto"/>
            </w:tcBorders>
            <w:vAlign w:val="center"/>
          </w:tcPr>
          <w:p w:rsidR="0063219D" w:rsidRPr="00C67268" w:rsidRDefault="0063219D" w:rsidP="005B59A8">
            <w:pPr>
              <w:spacing w:after="120" w:line="360" w:lineRule="auto"/>
              <w:rPr>
                <w:rFonts w:ascii="David" w:hAnsi="David" w:cs="David" w:hint="cs"/>
                <w:b/>
                <w:bCs/>
                <w:sz w:val="24"/>
                <w:szCs w:val="24"/>
                <w:rtl/>
              </w:rPr>
            </w:pPr>
            <w:r>
              <w:rPr>
                <w:rFonts w:ascii="David" w:hAnsi="David" w:cs="David" w:hint="cs"/>
                <w:b/>
                <w:bCs/>
                <w:noProof/>
                <w:sz w:val="24"/>
                <w:szCs w:val="24"/>
              </w:rPr>
              <mc:AlternateContent>
                <mc:Choice Requires="wps">
                  <w:drawing>
                    <wp:anchor distT="0" distB="0" distL="114300" distR="114300" simplePos="0" relativeHeight="251661312" behindDoc="1" locked="0" layoutInCell="1" allowOverlap="1" wp14:anchorId="2357B338" wp14:editId="76832243">
                      <wp:simplePos x="0" y="0"/>
                      <wp:positionH relativeFrom="column">
                        <wp:posOffset>202029</wp:posOffset>
                      </wp:positionH>
                      <wp:positionV relativeFrom="paragraph">
                        <wp:posOffset>21763</wp:posOffset>
                      </wp:positionV>
                      <wp:extent cx="0" cy="207818"/>
                      <wp:effectExtent l="76200" t="0" r="57150" b="59055"/>
                      <wp:wrapTight wrapText="bothSides">
                        <wp:wrapPolygon edited="0">
                          <wp:start x="-1" y="0"/>
                          <wp:lineTo x="-1" y="21798"/>
                          <wp:lineTo x="-1" y="25761"/>
                          <wp:lineTo x="-1" y="25761"/>
                          <wp:lineTo x="-1" y="0"/>
                          <wp:lineTo x="-1" y="0"/>
                        </wp:wrapPolygon>
                      </wp:wrapTight>
                      <wp:docPr id="1" name="מחבר חץ ישר 1"/>
                      <wp:cNvGraphicFramePr/>
                      <a:graphic xmlns:a="http://schemas.openxmlformats.org/drawingml/2006/main">
                        <a:graphicData uri="http://schemas.microsoft.com/office/word/2010/wordprocessingShape">
                          <wps:wsp>
                            <wps:cNvCnPr/>
                            <wps:spPr>
                              <a:xfrm>
                                <a:off x="0" y="0"/>
                                <a:ext cx="0" cy="2078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10A2FA3" id="_x0000_t32" coordsize="21600,21600" o:spt="32" o:oned="t" path="m,l21600,21600e" filled="f">
                      <v:path arrowok="t" fillok="f" o:connecttype="none"/>
                      <o:lock v:ext="edit" shapetype="t"/>
                    </v:shapetype>
                    <v:shape id="מחבר חץ ישר 1" o:spid="_x0000_s1026" type="#_x0000_t32" style="position:absolute;left:0;text-align:left;margin-left:15.9pt;margin-top:1.7pt;width:0;height:16.3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" strokecolor="black [3200]" strokeweight=".5pt">
                      <v:stroke endarrow="block" joinstyle="miter"/>
                      <w10:wrap type="tight"/>
                    </v:shape>
                  </w:pict>
                </mc:Fallback>
              </mc:AlternateContent>
            </w:r>
            <w:r w:rsidRPr="00C67268">
              <w:rPr>
                <w:rFonts w:ascii="David" w:hAnsi="David" w:cs="David" w:hint="cs"/>
                <w:b/>
                <w:bCs/>
                <w:sz w:val="24"/>
                <w:szCs w:val="24"/>
              </w:rPr>
              <w:t>CR</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C67268" w:rsidRDefault="0063219D" w:rsidP="005B59A8">
            <w:pPr>
              <w:spacing w:after="120" w:line="360" w:lineRule="auto"/>
              <w:rPr>
                <w:rFonts w:ascii="David" w:hAnsi="David" w:cs="David" w:hint="cs"/>
                <w:b/>
                <w:bCs/>
                <w:sz w:val="24"/>
                <w:szCs w:val="24"/>
                <w:rtl/>
              </w:rPr>
            </w:pPr>
            <w:r w:rsidRPr="00C67268">
              <w:rPr>
                <w:rFonts w:ascii="David" w:hAnsi="David" w:cs="David" w:hint="cs"/>
                <w:b/>
                <w:bCs/>
                <w:sz w:val="24"/>
                <w:szCs w:val="24"/>
              </w:rPr>
              <w:t xml:space="preserve">IR </w:t>
            </w:r>
            <w:r w:rsidRPr="00C67268">
              <w:rPr>
                <w:rFonts w:ascii="David" w:hAnsi="David" w:cs="David"/>
                <w:b/>
                <w:bCs/>
                <w:sz w:val="24"/>
                <w:szCs w:val="24"/>
                <w:rtl/>
              </w:rPr>
              <w:pgNum/>
            </w:r>
            <w:r w:rsidRPr="00C67268">
              <w:rPr>
                <w:rFonts w:ascii="David" w:hAnsi="David" w:cs="David"/>
                <w:b/>
                <w:bCs/>
                <w:sz w:val="24"/>
                <w:szCs w:val="24"/>
                <w:rtl/>
              </w:rPr>
              <w:pgNum/>
            </w:r>
            <w:r w:rsidRPr="00C67268">
              <w:rPr>
                <w:rFonts w:ascii="David" w:hAnsi="David" w:cs="David"/>
                <w:b/>
                <w:bCs/>
                <w:sz w:val="24"/>
                <w:szCs w:val="24"/>
              </w:rPr>
              <w:sym w:font="Wingdings" w:char="F0DF"/>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C67268" w:rsidRDefault="0063219D" w:rsidP="005B59A8">
            <w:pPr>
              <w:spacing w:after="120" w:line="360" w:lineRule="auto"/>
              <w:rPr>
                <w:rFonts w:ascii="David" w:hAnsi="David" w:cs="David" w:hint="cs"/>
                <w:b/>
                <w:bCs/>
                <w:sz w:val="24"/>
                <w:szCs w:val="24"/>
                <w:rtl/>
              </w:rPr>
            </w:pPr>
            <w:r w:rsidRPr="00C67268">
              <w:rPr>
                <w:rFonts w:ascii="David" w:hAnsi="David" w:cs="David" w:hint="cs"/>
                <w:b/>
                <w:bCs/>
                <w:sz w:val="24"/>
                <w:szCs w:val="24"/>
                <w:rtl/>
              </w:rPr>
              <w:t>גבוה</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C67268" w:rsidRDefault="0063219D" w:rsidP="005B59A8">
            <w:pPr>
              <w:spacing w:after="120" w:line="360" w:lineRule="auto"/>
              <w:rPr>
                <w:rFonts w:ascii="David" w:hAnsi="David" w:cs="David" w:hint="cs"/>
                <w:b/>
                <w:bCs/>
                <w:sz w:val="24"/>
                <w:szCs w:val="24"/>
                <w:rtl/>
              </w:rPr>
            </w:pPr>
            <w:r w:rsidRPr="00C67268">
              <w:rPr>
                <w:rFonts w:ascii="David" w:hAnsi="David" w:cs="David" w:hint="cs"/>
                <w:b/>
                <w:bCs/>
                <w:sz w:val="24"/>
                <w:szCs w:val="24"/>
                <w:rtl/>
              </w:rPr>
              <w:t>בינוני</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C67268" w:rsidRDefault="0063219D" w:rsidP="005B59A8">
            <w:pPr>
              <w:spacing w:after="120" w:line="360" w:lineRule="auto"/>
              <w:rPr>
                <w:rFonts w:ascii="David" w:hAnsi="David" w:cs="David" w:hint="cs"/>
                <w:b/>
                <w:bCs/>
                <w:sz w:val="24"/>
                <w:szCs w:val="24"/>
                <w:rtl/>
              </w:rPr>
            </w:pPr>
            <w:r w:rsidRPr="00C67268">
              <w:rPr>
                <w:rFonts w:ascii="David" w:hAnsi="David" w:cs="David" w:hint="cs"/>
                <w:b/>
                <w:bCs/>
                <w:sz w:val="24"/>
                <w:szCs w:val="24"/>
                <w:rtl/>
              </w:rPr>
              <w:t>נמוך</w:t>
            </w:r>
          </w:p>
        </w:tc>
      </w:tr>
      <w:tr w:rsidR="00C67268" w:rsidTr="0063219D">
        <w:tc>
          <w:tcPr>
            <w:tcW w:w="0" w:type="auto"/>
            <w:gridSpan w:val="2"/>
            <w:tcBorders>
              <w:top w:val="single" w:sz="4" w:space="0" w:color="auto"/>
              <w:left w:val="single" w:sz="4" w:space="0" w:color="auto"/>
              <w:bottom w:val="single" w:sz="4" w:space="0" w:color="auto"/>
              <w:right w:val="single" w:sz="4" w:space="0" w:color="auto"/>
            </w:tcBorders>
            <w:vAlign w:val="center"/>
          </w:tcPr>
          <w:p w:rsidR="00C67268" w:rsidRPr="00C67268" w:rsidRDefault="00C67268" w:rsidP="005B59A8">
            <w:pPr>
              <w:spacing w:after="120" w:line="360" w:lineRule="auto"/>
              <w:rPr>
                <w:rFonts w:ascii="David" w:hAnsi="David" w:cs="David" w:hint="cs"/>
                <w:b/>
                <w:bCs/>
                <w:sz w:val="24"/>
                <w:szCs w:val="24"/>
                <w:rtl/>
              </w:rPr>
            </w:pPr>
            <w:r w:rsidRPr="00C67268">
              <w:rPr>
                <w:rFonts w:ascii="David" w:hAnsi="David" w:cs="David" w:hint="cs"/>
                <w:b/>
                <w:bCs/>
                <w:sz w:val="24"/>
                <w:szCs w:val="24"/>
                <w:rtl/>
              </w:rPr>
              <w:t>גבוה</w:t>
            </w:r>
          </w:p>
        </w:tc>
        <w:tc>
          <w:tcPr>
            <w:tcW w:w="0" w:type="auto"/>
            <w:tcBorders>
              <w:top w:val="single" w:sz="4" w:space="0" w:color="auto"/>
              <w:left w:val="single" w:sz="4" w:space="0" w:color="auto"/>
              <w:bottom w:val="single" w:sz="4" w:space="0" w:color="auto"/>
              <w:right w:val="single" w:sz="4" w:space="0" w:color="auto"/>
            </w:tcBorders>
            <w:vAlign w:val="center"/>
          </w:tcPr>
          <w:p w:rsidR="00C67268" w:rsidRDefault="00C67268" w:rsidP="005B59A8">
            <w:pPr>
              <w:spacing w:after="120" w:line="360" w:lineRule="auto"/>
              <w:rPr>
                <w:rFonts w:ascii="David" w:hAnsi="David" w:cs="David" w:hint="cs"/>
                <w:sz w:val="24"/>
                <w:szCs w:val="24"/>
                <w:rtl/>
              </w:rPr>
            </w:pPr>
            <w:r>
              <w:rPr>
                <w:rFonts w:ascii="David" w:hAnsi="David" w:cs="David" w:hint="cs"/>
                <w:sz w:val="24"/>
                <w:szCs w:val="24"/>
                <w:rtl/>
              </w:rPr>
              <w:t>נמוך ביותר</w:t>
            </w:r>
          </w:p>
        </w:tc>
        <w:tc>
          <w:tcPr>
            <w:tcW w:w="0" w:type="auto"/>
            <w:tcBorders>
              <w:top w:val="single" w:sz="4" w:space="0" w:color="auto"/>
              <w:left w:val="single" w:sz="4" w:space="0" w:color="auto"/>
              <w:bottom w:val="single" w:sz="4" w:space="0" w:color="auto"/>
              <w:right w:val="single" w:sz="4" w:space="0" w:color="auto"/>
            </w:tcBorders>
            <w:vAlign w:val="center"/>
          </w:tcPr>
          <w:p w:rsidR="00C67268" w:rsidRDefault="00C67268" w:rsidP="005B59A8">
            <w:pPr>
              <w:spacing w:after="120" w:line="360" w:lineRule="auto"/>
              <w:rPr>
                <w:rFonts w:ascii="David" w:hAnsi="David" w:cs="David" w:hint="cs"/>
                <w:sz w:val="24"/>
                <w:szCs w:val="24"/>
                <w:rtl/>
              </w:rPr>
            </w:pPr>
            <w:r>
              <w:rPr>
                <w:rFonts w:ascii="David" w:hAnsi="David" w:cs="David" w:hint="cs"/>
                <w:sz w:val="24"/>
                <w:szCs w:val="24"/>
                <w:rtl/>
              </w:rPr>
              <w:t>נמוך</w:t>
            </w:r>
          </w:p>
        </w:tc>
        <w:tc>
          <w:tcPr>
            <w:tcW w:w="0" w:type="auto"/>
            <w:tcBorders>
              <w:top w:val="single" w:sz="4" w:space="0" w:color="auto"/>
              <w:left w:val="single" w:sz="4" w:space="0" w:color="auto"/>
              <w:bottom w:val="single" w:sz="4" w:space="0" w:color="auto"/>
              <w:right w:val="single" w:sz="4" w:space="0" w:color="auto"/>
            </w:tcBorders>
            <w:vAlign w:val="center"/>
          </w:tcPr>
          <w:p w:rsidR="00C67268" w:rsidRDefault="00C67268" w:rsidP="005B59A8">
            <w:pPr>
              <w:spacing w:after="120" w:line="360" w:lineRule="auto"/>
              <w:rPr>
                <w:rFonts w:ascii="David" w:hAnsi="David" w:cs="David" w:hint="cs"/>
                <w:sz w:val="24"/>
                <w:szCs w:val="24"/>
                <w:rtl/>
              </w:rPr>
            </w:pPr>
            <w:r>
              <w:rPr>
                <w:rFonts w:ascii="David" w:hAnsi="David" w:cs="David" w:hint="cs"/>
                <w:sz w:val="24"/>
                <w:szCs w:val="24"/>
                <w:rtl/>
              </w:rPr>
              <w:t>בינוני</w:t>
            </w:r>
          </w:p>
        </w:tc>
      </w:tr>
      <w:tr w:rsidR="00C67268" w:rsidTr="0063219D">
        <w:tc>
          <w:tcPr>
            <w:tcW w:w="0" w:type="auto"/>
            <w:gridSpan w:val="2"/>
            <w:tcBorders>
              <w:top w:val="single" w:sz="4" w:space="0" w:color="auto"/>
              <w:left w:val="single" w:sz="4" w:space="0" w:color="auto"/>
              <w:bottom w:val="single" w:sz="4" w:space="0" w:color="auto"/>
              <w:right w:val="single" w:sz="4" w:space="0" w:color="auto"/>
            </w:tcBorders>
            <w:vAlign w:val="center"/>
          </w:tcPr>
          <w:p w:rsidR="00C67268" w:rsidRPr="00C67268" w:rsidRDefault="00C67268" w:rsidP="005B59A8">
            <w:pPr>
              <w:spacing w:after="120" w:line="360" w:lineRule="auto"/>
              <w:rPr>
                <w:rFonts w:ascii="David" w:hAnsi="David" w:cs="David" w:hint="cs"/>
                <w:b/>
                <w:bCs/>
                <w:sz w:val="24"/>
                <w:szCs w:val="24"/>
                <w:rtl/>
              </w:rPr>
            </w:pPr>
            <w:r w:rsidRPr="00C67268">
              <w:rPr>
                <w:rFonts w:ascii="David" w:hAnsi="David" w:cs="David" w:hint="cs"/>
                <w:b/>
                <w:bCs/>
                <w:sz w:val="24"/>
                <w:szCs w:val="24"/>
                <w:rtl/>
              </w:rPr>
              <w:t xml:space="preserve">בינוני </w:t>
            </w:r>
          </w:p>
        </w:tc>
        <w:tc>
          <w:tcPr>
            <w:tcW w:w="0" w:type="auto"/>
            <w:tcBorders>
              <w:top w:val="single" w:sz="4" w:space="0" w:color="auto"/>
              <w:left w:val="single" w:sz="4" w:space="0" w:color="auto"/>
              <w:bottom w:val="single" w:sz="4" w:space="0" w:color="auto"/>
              <w:right w:val="single" w:sz="4" w:space="0" w:color="auto"/>
            </w:tcBorders>
            <w:vAlign w:val="center"/>
          </w:tcPr>
          <w:p w:rsidR="00C67268" w:rsidRDefault="00C67268" w:rsidP="005B59A8">
            <w:pPr>
              <w:spacing w:after="120" w:line="360" w:lineRule="auto"/>
              <w:rPr>
                <w:rFonts w:ascii="David" w:hAnsi="David" w:cs="David" w:hint="cs"/>
                <w:sz w:val="24"/>
                <w:szCs w:val="24"/>
                <w:rtl/>
              </w:rPr>
            </w:pPr>
            <w:r>
              <w:rPr>
                <w:rFonts w:ascii="David" w:hAnsi="David" w:cs="David" w:hint="cs"/>
                <w:sz w:val="24"/>
                <w:szCs w:val="24"/>
                <w:rtl/>
              </w:rPr>
              <w:t>נמוך</w:t>
            </w:r>
          </w:p>
        </w:tc>
        <w:tc>
          <w:tcPr>
            <w:tcW w:w="0" w:type="auto"/>
            <w:tcBorders>
              <w:top w:val="single" w:sz="4" w:space="0" w:color="auto"/>
              <w:left w:val="single" w:sz="4" w:space="0" w:color="auto"/>
              <w:bottom w:val="single" w:sz="4" w:space="0" w:color="auto"/>
              <w:right w:val="single" w:sz="4" w:space="0" w:color="auto"/>
            </w:tcBorders>
            <w:vAlign w:val="center"/>
          </w:tcPr>
          <w:p w:rsidR="00C67268" w:rsidRDefault="00C67268" w:rsidP="005B59A8">
            <w:pPr>
              <w:spacing w:after="120" w:line="360" w:lineRule="auto"/>
              <w:rPr>
                <w:rFonts w:ascii="David" w:hAnsi="David" w:cs="David" w:hint="cs"/>
                <w:sz w:val="24"/>
                <w:szCs w:val="24"/>
                <w:rtl/>
              </w:rPr>
            </w:pPr>
            <w:r>
              <w:rPr>
                <w:rFonts w:ascii="David" w:hAnsi="David" w:cs="David" w:hint="cs"/>
                <w:sz w:val="24"/>
                <w:szCs w:val="24"/>
                <w:rtl/>
              </w:rPr>
              <w:t>בינוני</w:t>
            </w:r>
          </w:p>
        </w:tc>
        <w:tc>
          <w:tcPr>
            <w:tcW w:w="0" w:type="auto"/>
            <w:tcBorders>
              <w:top w:val="single" w:sz="4" w:space="0" w:color="auto"/>
              <w:left w:val="single" w:sz="4" w:space="0" w:color="auto"/>
              <w:bottom w:val="single" w:sz="4" w:space="0" w:color="auto"/>
              <w:right w:val="single" w:sz="4" w:space="0" w:color="auto"/>
            </w:tcBorders>
            <w:vAlign w:val="center"/>
          </w:tcPr>
          <w:p w:rsidR="00C67268" w:rsidRDefault="00C67268" w:rsidP="005B59A8">
            <w:pPr>
              <w:spacing w:after="120" w:line="360" w:lineRule="auto"/>
              <w:rPr>
                <w:rFonts w:ascii="David" w:hAnsi="David" w:cs="David" w:hint="cs"/>
                <w:sz w:val="24"/>
                <w:szCs w:val="24"/>
                <w:rtl/>
              </w:rPr>
            </w:pPr>
            <w:r>
              <w:rPr>
                <w:rFonts w:ascii="David" w:hAnsi="David" w:cs="David" w:hint="cs"/>
                <w:sz w:val="24"/>
                <w:szCs w:val="24"/>
                <w:rtl/>
              </w:rPr>
              <w:t>גבוה</w:t>
            </w:r>
          </w:p>
        </w:tc>
      </w:tr>
      <w:tr w:rsidR="00C67268" w:rsidTr="0063219D">
        <w:tc>
          <w:tcPr>
            <w:tcW w:w="0" w:type="auto"/>
            <w:gridSpan w:val="2"/>
            <w:tcBorders>
              <w:top w:val="single" w:sz="4" w:space="0" w:color="auto"/>
              <w:left w:val="single" w:sz="4" w:space="0" w:color="auto"/>
              <w:bottom w:val="single" w:sz="4" w:space="0" w:color="auto"/>
              <w:right w:val="single" w:sz="4" w:space="0" w:color="auto"/>
            </w:tcBorders>
            <w:vAlign w:val="center"/>
          </w:tcPr>
          <w:p w:rsidR="00C67268" w:rsidRPr="00C67268" w:rsidRDefault="00C67268" w:rsidP="005B59A8">
            <w:pPr>
              <w:spacing w:after="120" w:line="360" w:lineRule="auto"/>
              <w:rPr>
                <w:rFonts w:ascii="David" w:hAnsi="David" w:cs="David" w:hint="cs"/>
                <w:b/>
                <w:bCs/>
                <w:sz w:val="24"/>
                <w:szCs w:val="24"/>
                <w:rtl/>
              </w:rPr>
            </w:pPr>
            <w:r w:rsidRPr="00C67268">
              <w:rPr>
                <w:rFonts w:ascii="David" w:hAnsi="David" w:cs="David" w:hint="cs"/>
                <w:b/>
                <w:bCs/>
                <w:sz w:val="24"/>
                <w:szCs w:val="24"/>
                <w:rtl/>
              </w:rPr>
              <w:t>נמוך</w:t>
            </w:r>
          </w:p>
        </w:tc>
        <w:tc>
          <w:tcPr>
            <w:tcW w:w="0" w:type="auto"/>
            <w:tcBorders>
              <w:top w:val="single" w:sz="4" w:space="0" w:color="auto"/>
              <w:left w:val="single" w:sz="4" w:space="0" w:color="auto"/>
              <w:bottom w:val="single" w:sz="4" w:space="0" w:color="auto"/>
              <w:right w:val="single" w:sz="4" w:space="0" w:color="auto"/>
            </w:tcBorders>
            <w:vAlign w:val="center"/>
          </w:tcPr>
          <w:p w:rsidR="00C67268" w:rsidRDefault="00C67268" w:rsidP="005B59A8">
            <w:pPr>
              <w:spacing w:after="120" w:line="360" w:lineRule="auto"/>
              <w:rPr>
                <w:rFonts w:ascii="David" w:hAnsi="David" w:cs="David" w:hint="cs"/>
                <w:sz w:val="24"/>
                <w:szCs w:val="24"/>
                <w:rtl/>
              </w:rPr>
            </w:pPr>
            <w:r>
              <w:rPr>
                <w:rFonts w:ascii="David" w:hAnsi="David" w:cs="David" w:hint="cs"/>
                <w:sz w:val="24"/>
                <w:szCs w:val="24"/>
                <w:rtl/>
              </w:rPr>
              <w:t>בינוני</w:t>
            </w:r>
          </w:p>
        </w:tc>
        <w:tc>
          <w:tcPr>
            <w:tcW w:w="0" w:type="auto"/>
            <w:tcBorders>
              <w:top w:val="single" w:sz="4" w:space="0" w:color="auto"/>
              <w:left w:val="single" w:sz="4" w:space="0" w:color="auto"/>
              <w:bottom w:val="single" w:sz="4" w:space="0" w:color="auto"/>
              <w:right w:val="single" w:sz="4" w:space="0" w:color="auto"/>
            </w:tcBorders>
            <w:vAlign w:val="center"/>
          </w:tcPr>
          <w:p w:rsidR="00C67268" w:rsidRDefault="00C67268" w:rsidP="005B59A8">
            <w:pPr>
              <w:spacing w:after="120" w:line="360" w:lineRule="auto"/>
              <w:rPr>
                <w:rFonts w:ascii="David" w:hAnsi="David" w:cs="David" w:hint="cs"/>
                <w:sz w:val="24"/>
                <w:szCs w:val="24"/>
                <w:rtl/>
              </w:rPr>
            </w:pPr>
            <w:r>
              <w:rPr>
                <w:rFonts w:ascii="David" w:hAnsi="David" w:cs="David" w:hint="cs"/>
                <w:sz w:val="24"/>
                <w:szCs w:val="24"/>
                <w:rtl/>
              </w:rPr>
              <w:t>גבוה</w:t>
            </w:r>
          </w:p>
        </w:tc>
        <w:tc>
          <w:tcPr>
            <w:tcW w:w="0" w:type="auto"/>
            <w:tcBorders>
              <w:top w:val="single" w:sz="4" w:space="0" w:color="auto"/>
              <w:left w:val="single" w:sz="4" w:space="0" w:color="auto"/>
              <w:bottom w:val="single" w:sz="4" w:space="0" w:color="auto"/>
              <w:right w:val="single" w:sz="4" w:space="0" w:color="auto"/>
            </w:tcBorders>
            <w:vAlign w:val="center"/>
          </w:tcPr>
          <w:p w:rsidR="00C67268" w:rsidRDefault="00C67268" w:rsidP="005B59A8">
            <w:pPr>
              <w:spacing w:after="120" w:line="360" w:lineRule="auto"/>
              <w:rPr>
                <w:rFonts w:ascii="David" w:hAnsi="David" w:cs="David" w:hint="cs"/>
                <w:sz w:val="24"/>
                <w:szCs w:val="24"/>
                <w:rtl/>
              </w:rPr>
            </w:pPr>
            <w:r>
              <w:rPr>
                <w:rFonts w:ascii="David" w:hAnsi="David" w:cs="David" w:hint="cs"/>
                <w:sz w:val="24"/>
                <w:szCs w:val="24"/>
                <w:rtl/>
              </w:rPr>
              <w:t>גבוה ביותר</w:t>
            </w:r>
          </w:p>
        </w:tc>
      </w:tr>
    </w:tbl>
    <w:p w:rsidR="001E4846" w:rsidRDefault="001E4846" w:rsidP="005B59A8">
      <w:pPr>
        <w:spacing w:after="120" w:line="360" w:lineRule="auto"/>
        <w:jc w:val="both"/>
        <w:rPr>
          <w:rFonts w:ascii="David" w:hAnsi="David" w:cs="David"/>
          <w:sz w:val="24"/>
          <w:szCs w:val="24"/>
          <w:rtl/>
        </w:rPr>
      </w:pPr>
    </w:p>
    <w:p w:rsidR="001E4846" w:rsidRDefault="001E4846" w:rsidP="005B59A8">
      <w:pPr>
        <w:spacing w:after="120" w:line="360" w:lineRule="auto"/>
        <w:jc w:val="both"/>
        <w:rPr>
          <w:rFonts w:ascii="David" w:hAnsi="David" w:cs="David" w:hint="cs"/>
          <w:sz w:val="24"/>
          <w:szCs w:val="24"/>
          <w:rtl/>
        </w:rPr>
      </w:pPr>
      <w:r>
        <w:rPr>
          <w:rFonts w:ascii="David" w:hAnsi="David" w:cs="David" w:hint="cs"/>
          <w:sz w:val="24"/>
          <w:szCs w:val="24"/>
          <w:rtl/>
        </w:rPr>
        <w:t>הערכת הסיכונים היא עניין של שיקול דעת מקצועי, סיכון מובנה וסיכון בקרה הינם סיכונים של הישות</w:t>
      </w:r>
      <w:r w:rsidR="00882F98">
        <w:rPr>
          <w:rFonts w:ascii="David" w:hAnsi="David" w:cs="David" w:hint="cs"/>
          <w:sz w:val="24"/>
          <w:szCs w:val="24"/>
          <w:rtl/>
        </w:rPr>
        <w:t xml:space="preserve">, </w:t>
      </w:r>
      <w:r>
        <w:rPr>
          <w:rFonts w:ascii="David" w:hAnsi="David" w:cs="David" w:hint="cs"/>
          <w:sz w:val="24"/>
          <w:szCs w:val="24"/>
          <w:rtl/>
        </w:rPr>
        <w:t xml:space="preserve">הם קיימים באופן עצמאי ללא תלות בביקורת הדוכ"ס . (דברי הסבר א37 בתקן). </w:t>
      </w:r>
    </w:p>
    <w:p w:rsidR="001E4846" w:rsidRDefault="001E4846" w:rsidP="005B59A8">
      <w:pPr>
        <w:spacing w:after="120" w:line="360" w:lineRule="auto"/>
        <w:jc w:val="both"/>
        <w:rPr>
          <w:rFonts w:ascii="David" w:hAnsi="David" w:cs="David" w:hint="cs"/>
          <w:sz w:val="24"/>
          <w:szCs w:val="24"/>
          <w:rtl/>
        </w:rPr>
      </w:pPr>
      <w:r>
        <w:rPr>
          <w:rFonts w:ascii="David" w:hAnsi="David" w:cs="David" w:hint="cs"/>
          <w:sz w:val="24"/>
          <w:szCs w:val="24"/>
          <w:rtl/>
        </w:rPr>
        <w:t>רמת סיכון אי הזיהוי הקבילה היא ביחס הפוך לסיכונים המוערכים של הצגה מוטעית מהותית ברמת המצג. (דברי הסבר א42).</w:t>
      </w:r>
    </w:p>
    <w:p w:rsidR="007F42A3" w:rsidRDefault="001E4846" w:rsidP="005B59A8">
      <w:pPr>
        <w:spacing w:after="120" w:line="360" w:lineRule="auto"/>
        <w:jc w:val="both"/>
        <w:rPr>
          <w:rFonts w:ascii="David" w:hAnsi="David" w:cs="David"/>
          <w:sz w:val="24"/>
          <w:szCs w:val="24"/>
          <w:rtl/>
        </w:rPr>
      </w:pPr>
      <w:r>
        <w:rPr>
          <w:rFonts w:ascii="David" w:hAnsi="David" w:cs="David" w:hint="cs"/>
          <w:sz w:val="24"/>
          <w:szCs w:val="24"/>
          <w:rtl/>
        </w:rPr>
        <w:t>רו"ח המבקר אינו יכול להקטין את סיכון הביקורת ל-0 ולכן לא ניתן להשיג ביטחון מוחלט שאין בדוכ"ס הצגה מוטעית מהותית עקב טעות או תרמית זאת משום שקיימות מגבלות מובנות בביקורת הנובעות מאופי הדיווח הכספי מאופי נהלי הביקורת וכן מהצורך שהביקורת תיערך תוך פרק זמן סביר ובעלות סבירה (דברי הסבר א45).</w:t>
      </w:r>
    </w:p>
    <w:p w:rsidR="001E4846" w:rsidRDefault="001E4846" w:rsidP="005B59A8">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שיקולים ספציפיים לגבי ישויות קטנות</w:t>
      </w:r>
    </w:p>
    <w:p w:rsidR="001E4846" w:rsidRDefault="001E4846" w:rsidP="005B59A8">
      <w:pPr>
        <w:spacing w:after="120" w:line="360" w:lineRule="auto"/>
        <w:jc w:val="both"/>
        <w:rPr>
          <w:rFonts w:ascii="David" w:hAnsi="David" w:cs="David"/>
          <w:sz w:val="24"/>
          <w:szCs w:val="24"/>
          <w:rtl/>
        </w:rPr>
      </w:pPr>
      <w:r>
        <w:rPr>
          <w:rFonts w:ascii="David" w:hAnsi="David" w:cs="David" w:hint="cs"/>
          <w:sz w:val="24"/>
          <w:szCs w:val="24"/>
          <w:rtl/>
        </w:rPr>
        <w:t>במהלך הביקורת יש לבחון שיקולים ספציפיים שמתאימים לישויות קטנות בהתאם לנסיבות. המונח ישות קטנה מתייחס לישות אשר מאפייניה האיכותניים הם בד"כ כגון אלה:</w:t>
      </w:r>
    </w:p>
    <w:p w:rsidR="001E4846" w:rsidRDefault="001E4846" w:rsidP="007937A2">
      <w:pPr>
        <w:pStyle w:val="a7"/>
        <w:numPr>
          <w:ilvl w:val="0"/>
          <w:numId w:val="5"/>
        </w:numPr>
        <w:spacing w:after="120" w:line="360" w:lineRule="auto"/>
        <w:jc w:val="both"/>
        <w:rPr>
          <w:rFonts w:ascii="David" w:hAnsi="David" w:cs="David" w:hint="cs"/>
          <w:sz w:val="24"/>
          <w:szCs w:val="24"/>
        </w:rPr>
      </w:pPr>
      <w:r>
        <w:rPr>
          <w:rFonts w:ascii="David" w:hAnsi="David" w:cs="David" w:hint="cs"/>
          <w:sz w:val="24"/>
          <w:szCs w:val="24"/>
          <w:rtl/>
        </w:rPr>
        <w:t xml:space="preserve">ריכוז הבעלות הניהול בידי מס' קטן של יחידים </w:t>
      </w:r>
    </w:p>
    <w:p w:rsidR="001E4846" w:rsidRDefault="00065B31" w:rsidP="007937A2">
      <w:pPr>
        <w:pStyle w:val="a7"/>
        <w:numPr>
          <w:ilvl w:val="0"/>
          <w:numId w:val="5"/>
        </w:numPr>
        <w:spacing w:after="120" w:line="360" w:lineRule="auto"/>
        <w:jc w:val="both"/>
        <w:rPr>
          <w:rFonts w:ascii="David" w:hAnsi="David" w:cs="David"/>
          <w:sz w:val="24"/>
          <w:szCs w:val="24"/>
        </w:rPr>
      </w:pPr>
      <w:r>
        <w:rPr>
          <w:rFonts w:ascii="David" w:hAnsi="David" w:cs="David" w:hint="cs"/>
          <w:sz w:val="24"/>
          <w:szCs w:val="24"/>
          <w:rtl/>
        </w:rPr>
        <w:t>אחד או יותר מהמאפיינים הבאים מתקיים (לא רשימה סגורה) (א64 לתקן):</w:t>
      </w:r>
    </w:p>
    <w:p w:rsidR="00065B31" w:rsidRDefault="00065B31" w:rsidP="007937A2">
      <w:pPr>
        <w:pStyle w:val="a7"/>
        <w:numPr>
          <w:ilvl w:val="0"/>
          <w:numId w:val="3"/>
        </w:numPr>
        <w:spacing w:after="120" w:line="360" w:lineRule="auto"/>
        <w:ind w:left="1037" w:hanging="357"/>
        <w:jc w:val="both"/>
        <w:rPr>
          <w:rFonts w:ascii="David" w:hAnsi="David" w:cs="David" w:hint="cs"/>
          <w:sz w:val="24"/>
          <w:szCs w:val="24"/>
        </w:rPr>
      </w:pPr>
      <w:r>
        <w:rPr>
          <w:rFonts w:ascii="David" w:hAnsi="David" w:cs="David" w:hint="cs"/>
          <w:sz w:val="24"/>
          <w:szCs w:val="24"/>
          <w:rtl/>
        </w:rPr>
        <w:t>עסקאות ברורות ופשוטות</w:t>
      </w:r>
    </w:p>
    <w:p w:rsidR="00065B31" w:rsidRDefault="00065B31" w:rsidP="007937A2">
      <w:pPr>
        <w:pStyle w:val="a7"/>
        <w:numPr>
          <w:ilvl w:val="0"/>
          <w:numId w:val="3"/>
        </w:numPr>
        <w:spacing w:after="120" w:line="360" w:lineRule="auto"/>
        <w:ind w:left="1037" w:hanging="357"/>
        <w:jc w:val="both"/>
        <w:rPr>
          <w:rFonts w:ascii="David" w:hAnsi="David" w:cs="David" w:hint="cs"/>
          <w:sz w:val="24"/>
          <w:szCs w:val="24"/>
        </w:rPr>
      </w:pPr>
      <w:r>
        <w:rPr>
          <w:rFonts w:ascii="David" w:hAnsi="David" w:cs="David" w:hint="cs"/>
          <w:sz w:val="24"/>
          <w:szCs w:val="24"/>
          <w:rtl/>
        </w:rPr>
        <w:t>ניהול רשומות פשוט</w:t>
      </w:r>
    </w:p>
    <w:p w:rsidR="00065B31" w:rsidRDefault="00065B31" w:rsidP="007937A2">
      <w:pPr>
        <w:pStyle w:val="a7"/>
        <w:numPr>
          <w:ilvl w:val="0"/>
          <w:numId w:val="3"/>
        </w:numPr>
        <w:spacing w:after="120" w:line="360" w:lineRule="auto"/>
        <w:ind w:left="1037" w:hanging="357"/>
        <w:jc w:val="both"/>
        <w:rPr>
          <w:rFonts w:ascii="David" w:hAnsi="David" w:cs="David" w:hint="cs"/>
          <w:sz w:val="24"/>
          <w:szCs w:val="24"/>
        </w:rPr>
      </w:pPr>
      <w:r>
        <w:rPr>
          <w:rFonts w:ascii="David" w:hAnsi="David" w:cs="David" w:hint="cs"/>
          <w:sz w:val="24"/>
          <w:szCs w:val="24"/>
          <w:rtl/>
        </w:rPr>
        <w:t>מספר קטן של תחומי פעילות עסקית</w:t>
      </w:r>
    </w:p>
    <w:p w:rsidR="00065B31" w:rsidRDefault="00065B31" w:rsidP="007937A2">
      <w:pPr>
        <w:pStyle w:val="a7"/>
        <w:numPr>
          <w:ilvl w:val="0"/>
          <w:numId w:val="3"/>
        </w:numPr>
        <w:spacing w:after="120" w:line="360" w:lineRule="auto"/>
        <w:ind w:left="1037" w:hanging="357"/>
        <w:jc w:val="both"/>
        <w:rPr>
          <w:rFonts w:ascii="David" w:hAnsi="David" w:cs="David" w:hint="cs"/>
          <w:sz w:val="24"/>
          <w:szCs w:val="24"/>
        </w:rPr>
      </w:pPr>
      <w:r>
        <w:rPr>
          <w:rFonts w:ascii="David" w:hAnsi="David" w:cs="David" w:hint="cs"/>
          <w:sz w:val="24"/>
          <w:szCs w:val="24"/>
          <w:rtl/>
        </w:rPr>
        <w:t>מספר קטן של מוצרים</w:t>
      </w:r>
    </w:p>
    <w:p w:rsidR="00065B31" w:rsidRDefault="00065B31" w:rsidP="007937A2">
      <w:pPr>
        <w:pStyle w:val="a7"/>
        <w:numPr>
          <w:ilvl w:val="0"/>
          <w:numId w:val="3"/>
        </w:numPr>
        <w:spacing w:after="120" w:line="360" w:lineRule="auto"/>
        <w:ind w:left="1037" w:hanging="357"/>
        <w:jc w:val="both"/>
        <w:rPr>
          <w:rFonts w:ascii="David" w:hAnsi="David" w:cs="David" w:hint="cs"/>
          <w:sz w:val="24"/>
          <w:szCs w:val="24"/>
        </w:rPr>
      </w:pPr>
      <w:r>
        <w:rPr>
          <w:rFonts w:ascii="David" w:hAnsi="David" w:cs="David" w:hint="cs"/>
          <w:sz w:val="24"/>
          <w:szCs w:val="24"/>
          <w:rtl/>
        </w:rPr>
        <w:t>בקרות פנימיות מעטות</w:t>
      </w:r>
    </w:p>
    <w:p w:rsidR="00065B31" w:rsidRDefault="00065B31" w:rsidP="007937A2">
      <w:pPr>
        <w:pStyle w:val="a7"/>
        <w:numPr>
          <w:ilvl w:val="0"/>
          <w:numId w:val="3"/>
        </w:numPr>
        <w:spacing w:after="120" w:line="360" w:lineRule="auto"/>
        <w:ind w:left="1037" w:hanging="357"/>
        <w:jc w:val="both"/>
        <w:rPr>
          <w:rFonts w:ascii="David" w:hAnsi="David" w:cs="David" w:hint="cs"/>
          <w:sz w:val="24"/>
          <w:szCs w:val="24"/>
        </w:rPr>
      </w:pPr>
      <w:r>
        <w:rPr>
          <w:rFonts w:ascii="David" w:hAnsi="David" w:cs="David" w:hint="cs"/>
          <w:sz w:val="24"/>
          <w:szCs w:val="24"/>
          <w:rtl/>
        </w:rPr>
        <w:t xml:space="preserve">מס' קטן של רמות ניהול </w:t>
      </w:r>
    </w:p>
    <w:p w:rsidR="00065B31" w:rsidRDefault="00065B31" w:rsidP="007937A2">
      <w:pPr>
        <w:pStyle w:val="a7"/>
        <w:numPr>
          <w:ilvl w:val="0"/>
          <w:numId w:val="3"/>
        </w:numPr>
        <w:spacing w:after="120" w:line="360" w:lineRule="auto"/>
        <w:ind w:left="1037" w:hanging="357"/>
        <w:jc w:val="both"/>
        <w:rPr>
          <w:rFonts w:ascii="David" w:hAnsi="David" w:cs="David" w:hint="cs"/>
          <w:sz w:val="24"/>
          <w:szCs w:val="24"/>
        </w:rPr>
      </w:pPr>
      <w:r>
        <w:rPr>
          <w:rFonts w:ascii="David" w:hAnsi="David" w:cs="David" w:hint="cs"/>
          <w:sz w:val="24"/>
          <w:szCs w:val="24"/>
          <w:rtl/>
        </w:rPr>
        <w:t>מס' קטן של עובדים שלרבים מהם קשת רחבה של תפקידים</w:t>
      </w:r>
    </w:p>
    <w:p w:rsidR="005B59A8" w:rsidRDefault="005B59A8" w:rsidP="005B59A8">
      <w:pPr>
        <w:spacing w:after="120" w:line="360" w:lineRule="auto"/>
        <w:jc w:val="both"/>
        <w:rPr>
          <w:rFonts w:ascii="David" w:hAnsi="David" w:cs="David"/>
          <w:b/>
          <w:bCs/>
          <w:sz w:val="24"/>
          <w:szCs w:val="24"/>
          <w:u w:val="single"/>
          <w:rtl/>
        </w:rPr>
      </w:pPr>
    </w:p>
    <w:p w:rsidR="005B59A8" w:rsidRDefault="005B59A8" w:rsidP="005B59A8">
      <w:pPr>
        <w:spacing w:after="120" w:line="360" w:lineRule="auto"/>
        <w:jc w:val="both"/>
        <w:rPr>
          <w:rFonts w:ascii="David" w:hAnsi="David" w:cs="David"/>
          <w:b/>
          <w:bCs/>
          <w:sz w:val="24"/>
          <w:szCs w:val="24"/>
          <w:u w:val="single"/>
          <w:rtl/>
        </w:rPr>
      </w:pPr>
    </w:p>
    <w:p w:rsidR="005B59A8" w:rsidRDefault="005B59A8" w:rsidP="005B59A8">
      <w:pPr>
        <w:spacing w:after="120" w:line="360" w:lineRule="auto"/>
        <w:jc w:val="both"/>
        <w:rPr>
          <w:rFonts w:ascii="David" w:hAnsi="David" w:cs="David"/>
          <w:b/>
          <w:bCs/>
          <w:sz w:val="24"/>
          <w:szCs w:val="24"/>
          <w:u w:val="single"/>
          <w:rtl/>
        </w:rPr>
      </w:pPr>
    </w:p>
    <w:p w:rsidR="005B59A8" w:rsidRDefault="005B59A8" w:rsidP="005B59A8">
      <w:pPr>
        <w:spacing w:after="120" w:line="360" w:lineRule="auto"/>
        <w:jc w:val="both"/>
        <w:rPr>
          <w:rFonts w:ascii="David" w:hAnsi="David" w:cs="David"/>
          <w:b/>
          <w:bCs/>
          <w:sz w:val="24"/>
          <w:szCs w:val="24"/>
          <w:u w:val="single"/>
          <w:rtl/>
        </w:rPr>
      </w:pPr>
    </w:p>
    <w:p w:rsidR="005B59A8" w:rsidRDefault="005B59A8" w:rsidP="005B59A8">
      <w:pPr>
        <w:spacing w:after="120" w:line="360" w:lineRule="auto"/>
        <w:jc w:val="both"/>
        <w:rPr>
          <w:rFonts w:ascii="David" w:hAnsi="David" w:cs="David"/>
          <w:b/>
          <w:bCs/>
          <w:sz w:val="24"/>
          <w:szCs w:val="24"/>
          <w:u w:val="single"/>
          <w:rtl/>
        </w:rPr>
      </w:pPr>
    </w:p>
    <w:p w:rsidR="00065B31" w:rsidRDefault="00065B31" w:rsidP="005B59A8">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lastRenderedPageBreak/>
        <w:t>מספר דגשים לגבי סיכון הביקורת :</w:t>
      </w:r>
    </w:p>
    <w:p w:rsidR="00065B31" w:rsidRPr="00065B31" w:rsidRDefault="00065B31" w:rsidP="007937A2">
      <w:pPr>
        <w:pStyle w:val="a7"/>
        <w:numPr>
          <w:ilvl w:val="0"/>
          <w:numId w:val="6"/>
        </w:numPr>
        <w:spacing w:after="120" w:line="360" w:lineRule="auto"/>
        <w:jc w:val="both"/>
        <w:rPr>
          <w:rFonts w:ascii="David" w:hAnsi="David" w:cs="David" w:hint="cs"/>
          <w:b/>
          <w:bCs/>
          <w:sz w:val="24"/>
          <w:szCs w:val="24"/>
          <w:u w:val="single"/>
        </w:rPr>
      </w:pPr>
      <w:r>
        <w:rPr>
          <w:rFonts w:ascii="David" w:hAnsi="David" w:cs="David" w:hint="cs"/>
          <w:sz w:val="24"/>
          <w:szCs w:val="24"/>
          <w:rtl/>
        </w:rPr>
        <w:t xml:space="preserve">סיכון הביקורת יחושב הן לפריט בודד והן ברמת הדוכ"ס בכללותם </w:t>
      </w:r>
    </w:p>
    <w:p w:rsidR="00065B31" w:rsidRPr="00065B31" w:rsidRDefault="00065B31" w:rsidP="007937A2">
      <w:pPr>
        <w:pStyle w:val="a7"/>
        <w:numPr>
          <w:ilvl w:val="0"/>
          <w:numId w:val="6"/>
        </w:numPr>
        <w:spacing w:after="120" w:line="360" w:lineRule="auto"/>
        <w:jc w:val="both"/>
        <w:rPr>
          <w:rFonts w:ascii="David" w:hAnsi="David" w:cs="David" w:hint="cs"/>
          <w:b/>
          <w:bCs/>
          <w:sz w:val="24"/>
          <w:szCs w:val="24"/>
          <w:u w:val="single"/>
        </w:rPr>
      </w:pPr>
      <w:r>
        <w:rPr>
          <w:rFonts w:ascii="David" w:hAnsi="David" w:cs="David" w:hint="cs"/>
          <w:sz w:val="24"/>
          <w:szCs w:val="24"/>
          <w:rtl/>
        </w:rPr>
        <w:t xml:space="preserve">סיכון אי זיהוי הוא ביחס הפוך לסיכון שבמהות וסיכון הבקרה יחד </w:t>
      </w:r>
    </w:p>
    <w:p w:rsidR="00065B31" w:rsidRPr="00065B31" w:rsidRDefault="00065B31" w:rsidP="007937A2">
      <w:pPr>
        <w:pStyle w:val="a7"/>
        <w:numPr>
          <w:ilvl w:val="0"/>
          <w:numId w:val="6"/>
        </w:numPr>
        <w:spacing w:after="120" w:line="360" w:lineRule="auto"/>
        <w:jc w:val="both"/>
        <w:rPr>
          <w:rFonts w:ascii="David" w:hAnsi="David" w:cs="David" w:hint="cs"/>
          <w:sz w:val="24"/>
          <w:szCs w:val="24"/>
        </w:rPr>
      </w:pPr>
      <w:r w:rsidRPr="00065B31">
        <w:rPr>
          <w:rFonts w:ascii="David" w:hAnsi="David" w:cs="David" w:hint="cs"/>
          <w:sz w:val="24"/>
          <w:szCs w:val="24"/>
          <w:rtl/>
        </w:rPr>
        <w:t xml:space="preserve">סיכון הביקורת חייב להיות ברמה נמוכה קבילה </w:t>
      </w:r>
    </w:p>
    <w:p w:rsidR="00065B31" w:rsidRPr="00065B31" w:rsidRDefault="00065B31" w:rsidP="007937A2">
      <w:pPr>
        <w:pStyle w:val="a7"/>
        <w:numPr>
          <w:ilvl w:val="0"/>
          <w:numId w:val="6"/>
        </w:numPr>
        <w:spacing w:after="120" w:line="360" w:lineRule="auto"/>
        <w:jc w:val="both"/>
        <w:rPr>
          <w:rFonts w:ascii="David" w:hAnsi="David" w:cs="David"/>
          <w:sz w:val="24"/>
          <w:szCs w:val="24"/>
        </w:rPr>
      </w:pPr>
      <w:r w:rsidRPr="00065B31">
        <w:rPr>
          <w:rFonts w:ascii="David" w:hAnsi="David" w:cs="David" w:hint="cs"/>
          <w:sz w:val="24"/>
          <w:szCs w:val="24"/>
          <w:rtl/>
        </w:rPr>
        <w:t xml:space="preserve">ככל שהבקרה הפנימית נאותה יותר כך רו"ח המבקר יכול להסתמך עליה יותר ולנקוט בבדיקות מבססות מופחתות. </w:t>
      </w:r>
    </w:p>
    <w:p w:rsidR="00065B31" w:rsidRPr="00065B31" w:rsidRDefault="00065B31" w:rsidP="007937A2">
      <w:pPr>
        <w:pStyle w:val="a7"/>
        <w:numPr>
          <w:ilvl w:val="0"/>
          <w:numId w:val="6"/>
        </w:numPr>
        <w:spacing w:after="120" w:line="360" w:lineRule="auto"/>
        <w:jc w:val="both"/>
        <w:rPr>
          <w:rFonts w:ascii="David" w:hAnsi="David" w:cs="David" w:hint="cs"/>
          <w:sz w:val="24"/>
          <w:szCs w:val="24"/>
          <w:rtl/>
        </w:rPr>
      </w:pPr>
      <w:r w:rsidRPr="00065B31">
        <w:rPr>
          <w:rFonts w:ascii="David" w:hAnsi="David" w:cs="David" w:hint="cs"/>
          <w:sz w:val="24"/>
          <w:szCs w:val="24"/>
          <w:rtl/>
        </w:rPr>
        <w:t xml:space="preserve">סיכון אי הזיהוי מצביע על היקף הבדיקות המבססות שעל רו"ח לנקוט ולא ניתן להגיע לנטרול מוחלט של סיכון הביקורת בגלל המגבלות הקיימות בביקורת . </w:t>
      </w:r>
    </w:p>
    <w:p w:rsidR="001E4846" w:rsidRPr="00476469" w:rsidRDefault="00065B31" w:rsidP="005B59A8">
      <w:pPr>
        <w:spacing w:after="120" w:line="360" w:lineRule="auto"/>
        <w:jc w:val="center"/>
        <w:rPr>
          <w:rFonts w:ascii="David" w:hAnsi="David" w:cs="David" w:hint="cs"/>
          <w:b/>
          <w:bCs/>
          <w:color w:val="7030A0"/>
          <w:sz w:val="28"/>
          <w:szCs w:val="28"/>
          <w:u w:val="single"/>
          <w:rtl/>
        </w:rPr>
      </w:pPr>
      <w:r w:rsidRPr="00476469">
        <w:rPr>
          <w:rFonts w:ascii="David" w:hAnsi="David" w:cs="David" w:hint="cs"/>
          <w:b/>
          <w:bCs/>
          <w:color w:val="7030A0"/>
          <w:sz w:val="28"/>
          <w:szCs w:val="28"/>
          <w:u w:val="single"/>
          <w:rtl/>
        </w:rPr>
        <w:t>מהותיות</w:t>
      </w:r>
    </w:p>
    <w:tbl>
      <w:tblPr>
        <w:tblStyle w:val="ab"/>
        <w:bidiVisual/>
        <w:tblW w:w="0" w:type="auto"/>
        <w:tblLook w:val="04A0" w:firstRow="1" w:lastRow="0" w:firstColumn="1" w:lastColumn="0" w:noHBand="0" w:noVBand="1"/>
      </w:tblPr>
      <w:tblGrid>
        <w:gridCol w:w="4148"/>
        <w:gridCol w:w="4148"/>
      </w:tblGrid>
      <w:tr w:rsidR="00065B31" w:rsidTr="00065B31">
        <w:tc>
          <w:tcPr>
            <w:tcW w:w="4148" w:type="dxa"/>
          </w:tcPr>
          <w:p w:rsidR="003768DC" w:rsidRDefault="00065B31" w:rsidP="005B59A8">
            <w:pPr>
              <w:spacing w:after="120" w:line="360" w:lineRule="auto"/>
              <w:jc w:val="both"/>
              <w:rPr>
                <w:rFonts w:ascii="David" w:hAnsi="David" w:cs="David"/>
                <w:sz w:val="24"/>
                <w:szCs w:val="24"/>
              </w:rPr>
            </w:pPr>
            <w:r w:rsidRPr="00065B31">
              <w:rPr>
                <w:rFonts w:ascii="David" w:hAnsi="David" w:cs="David" w:hint="cs"/>
                <w:b/>
                <w:bCs/>
                <w:sz w:val="24"/>
                <w:szCs w:val="24"/>
                <w:rtl/>
              </w:rPr>
              <w:t>היבט חשבונאות</w:t>
            </w:r>
            <w:r w:rsidR="00932DE6">
              <w:rPr>
                <w:rFonts w:ascii="David" w:hAnsi="David" w:cs="David" w:hint="cs"/>
                <w:b/>
                <w:bCs/>
                <w:sz w:val="24"/>
                <w:szCs w:val="24"/>
                <w:rtl/>
              </w:rPr>
              <w:t xml:space="preserve"> </w:t>
            </w:r>
          </w:p>
          <w:p w:rsidR="003768DC" w:rsidRDefault="00065B31" w:rsidP="005B59A8">
            <w:pPr>
              <w:spacing w:after="120" w:line="360" w:lineRule="auto"/>
              <w:jc w:val="both"/>
              <w:rPr>
                <w:rFonts w:ascii="David" w:hAnsi="David" w:cs="David" w:hint="cs"/>
                <w:b/>
                <w:bCs/>
                <w:sz w:val="24"/>
                <w:szCs w:val="24"/>
                <w:rtl/>
              </w:rPr>
            </w:pPr>
            <w:r>
              <w:rPr>
                <w:rFonts w:ascii="David" w:hAnsi="David" w:cs="David" w:hint="cs"/>
                <w:sz w:val="24"/>
                <w:szCs w:val="24"/>
              </w:rPr>
              <w:t>IAS1</w:t>
            </w:r>
            <w:r w:rsidR="003768DC">
              <w:rPr>
                <w:rFonts w:ascii="David" w:hAnsi="David" w:cs="David" w:hint="cs"/>
                <w:sz w:val="24"/>
                <w:szCs w:val="24"/>
                <w:rtl/>
              </w:rPr>
              <w:t xml:space="preserve"> </w:t>
            </w:r>
            <w:r w:rsidR="003768DC" w:rsidRPr="003768DC">
              <w:rPr>
                <w:rFonts w:ascii="David" w:hAnsi="David" w:cs="David"/>
                <w:sz w:val="24"/>
                <w:szCs w:val="24"/>
              </w:rPr>
              <w:sym w:font="Wingdings" w:char="F0DF"/>
            </w:r>
            <w:r w:rsidR="003768DC">
              <w:rPr>
                <w:rFonts w:ascii="David" w:hAnsi="David" w:cs="David" w:hint="cs"/>
                <w:sz w:val="24"/>
                <w:szCs w:val="24"/>
                <w:rtl/>
              </w:rPr>
              <w:t xml:space="preserve"> </w:t>
            </w:r>
            <w:r w:rsidR="003768DC">
              <w:rPr>
                <w:rFonts w:ascii="David" w:hAnsi="David" w:cs="David" w:hint="cs"/>
                <w:b/>
                <w:bCs/>
                <w:sz w:val="24"/>
                <w:szCs w:val="24"/>
                <w:rtl/>
              </w:rPr>
              <w:t xml:space="preserve">חל גם על תקופות ביניים </w:t>
            </w:r>
          </w:p>
          <w:p w:rsidR="00065B31" w:rsidRDefault="00065B31" w:rsidP="005B59A8">
            <w:pPr>
              <w:spacing w:after="120" w:line="360" w:lineRule="auto"/>
              <w:jc w:val="both"/>
              <w:rPr>
                <w:rFonts w:ascii="David" w:hAnsi="David" w:cs="David"/>
                <w:sz w:val="24"/>
                <w:szCs w:val="24"/>
              </w:rPr>
            </w:pPr>
            <w:r>
              <w:rPr>
                <w:rFonts w:ascii="David" w:hAnsi="David" w:cs="David" w:hint="cs"/>
                <w:sz w:val="24"/>
                <w:szCs w:val="24"/>
              </w:rPr>
              <w:t>IAS8</w:t>
            </w:r>
          </w:p>
          <w:p w:rsidR="00065B31" w:rsidRDefault="00065B31" w:rsidP="005B59A8">
            <w:pPr>
              <w:pBdr>
                <w:bottom w:val="single" w:sz="6" w:space="1" w:color="auto"/>
              </w:pBdr>
              <w:spacing w:after="120" w:line="360" w:lineRule="auto"/>
              <w:jc w:val="both"/>
              <w:rPr>
                <w:rFonts w:ascii="David" w:hAnsi="David" w:cs="David"/>
                <w:sz w:val="24"/>
                <w:szCs w:val="24"/>
                <w:rtl/>
              </w:rPr>
            </w:pPr>
            <w:r>
              <w:rPr>
                <w:rFonts w:ascii="David" w:hAnsi="David" w:cs="David" w:hint="cs"/>
                <w:sz w:val="24"/>
                <w:szCs w:val="24"/>
                <w:rtl/>
              </w:rPr>
              <w:t>תקן חשבונאות 34 ישראל 01/14</w:t>
            </w:r>
          </w:p>
          <w:p w:rsidR="00681EAC" w:rsidRPr="00E06B51" w:rsidRDefault="00681EAC" w:rsidP="005B59A8">
            <w:pPr>
              <w:spacing w:after="120" w:line="360" w:lineRule="auto"/>
              <w:jc w:val="both"/>
              <w:rPr>
                <w:rFonts w:ascii="David" w:hAnsi="David" w:cs="David"/>
                <w:b/>
                <w:bCs/>
                <w:color w:val="FF0000"/>
                <w:sz w:val="24"/>
                <w:szCs w:val="24"/>
                <w:rtl/>
              </w:rPr>
            </w:pPr>
            <w:r w:rsidRPr="00E06B51">
              <w:rPr>
                <w:rFonts w:ascii="David" w:hAnsi="David" w:cs="David" w:hint="cs"/>
                <w:b/>
                <w:bCs/>
                <w:color w:val="FF0000"/>
                <w:sz w:val="24"/>
                <w:szCs w:val="24"/>
                <w:rtl/>
              </w:rPr>
              <w:t>הרשות לני"ע קבעה בנייר עמדה 99-4 לגבי מהותיות בביקורת</w:t>
            </w:r>
          </w:p>
          <w:p w:rsidR="00681EAC" w:rsidRPr="00E06B51" w:rsidRDefault="00681EAC" w:rsidP="005B59A8">
            <w:pPr>
              <w:spacing w:after="120" w:line="360" w:lineRule="auto"/>
              <w:jc w:val="both"/>
              <w:rPr>
                <w:rFonts w:ascii="David" w:hAnsi="David" w:cs="David"/>
                <w:b/>
                <w:bCs/>
                <w:color w:val="FF0000"/>
                <w:sz w:val="24"/>
                <w:szCs w:val="24"/>
                <w:rtl/>
              </w:rPr>
            </w:pPr>
            <w:r w:rsidRPr="00E06B51">
              <w:rPr>
                <w:rFonts w:ascii="David" w:hAnsi="David" w:cs="David" w:hint="cs"/>
                <w:b/>
                <w:bCs/>
                <w:color w:val="FF0000"/>
                <w:sz w:val="24"/>
                <w:szCs w:val="24"/>
                <w:rtl/>
              </w:rPr>
              <w:t>היבט כמותי -5%</w:t>
            </w:r>
          </w:p>
          <w:p w:rsidR="00681EAC" w:rsidRPr="00681EAC" w:rsidRDefault="00681EAC" w:rsidP="005B59A8">
            <w:pPr>
              <w:spacing w:after="120" w:line="360" w:lineRule="auto"/>
              <w:jc w:val="both"/>
              <w:rPr>
                <w:rFonts w:ascii="David" w:hAnsi="David" w:cs="David" w:hint="cs"/>
                <w:color w:val="FF0000"/>
                <w:sz w:val="24"/>
                <w:szCs w:val="24"/>
                <w:rtl/>
              </w:rPr>
            </w:pPr>
            <w:r w:rsidRPr="00E06B51">
              <w:rPr>
                <w:rFonts w:ascii="David" w:hAnsi="David" w:cs="David" w:hint="cs"/>
                <w:b/>
                <w:bCs/>
                <w:color w:val="FF0000"/>
                <w:sz w:val="24"/>
                <w:szCs w:val="24"/>
                <w:rtl/>
              </w:rPr>
              <w:t xml:space="preserve">היבט איכותי </w:t>
            </w:r>
            <w:r w:rsidRPr="00E06B51">
              <w:rPr>
                <w:rFonts w:ascii="David" w:hAnsi="David" w:cs="David"/>
                <w:b/>
                <w:bCs/>
                <w:color w:val="FF0000"/>
                <w:sz w:val="24"/>
                <w:szCs w:val="24"/>
                <w:rtl/>
              </w:rPr>
              <w:t>–</w:t>
            </w:r>
            <w:r w:rsidRPr="00E06B51">
              <w:rPr>
                <w:rFonts w:ascii="David" w:hAnsi="David" w:cs="David" w:hint="cs"/>
                <w:b/>
                <w:bCs/>
                <w:color w:val="FF0000"/>
                <w:sz w:val="24"/>
                <w:szCs w:val="24"/>
                <w:rtl/>
              </w:rPr>
              <w:t xml:space="preserve"> רשימת דוגמאות לא סגורה</w:t>
            </w:r>
            <w:r>
              <w:rPr>
                <w:rFonts w:ascii="David" w:hAnsi="David" w:cs="David" w:hint="cs"/>
                <w:color w:val="FF0000"/>
                <w:sz w:val="24"/>
                <w:szCs w:val="24"/>
                <w:rtl/>
              </w:rPr>
              <w:t xml:space="preserve"> </w:t>
            </w:r>
          </w:p>
        </w:tc>
        <w:tc>
          <w:tcPr>
            <w:tcW w:w="4148" w:type="dxa"/>
          </w:tcPr>
          <w:p w:rsidR="00065B31" w:rsidRDefault="00065B31" w:rsidP="005B59A8">
            <w:pPr>
              <w:spacing w:after="120" w:line="360" w:lineRule="auto"/>
              <w:jc w:val="both"/>
              <w:rPr>
                <w:rFonts w:ascii="David" w:hAnsi="David" w:cs="David"/>
                <w:b/>
                <w:bCs/>
                <w:sz w:val="24"/>
                <w:szCs w:val="24"/>
                <w:rtl/>
              </w:rPr>
            </w:pPr>
            <w:r w:rsidRPr="00065B31">
              <w:rPr>
                <w:rFonts w:ascii="David" w:hAnsi="David" w:cs="David" w:hint="cs"/>
                <w:b/>
                <w:bCs/>
                <w:sz w:val="24"/>
                <w:szCs w:val="24"/>
                <w:rtl/>
              </w:rPr>
              <w:t>היבט ביקורת</w:t>
            </w:r>
          </w:p>
          <w:p w:rsidR="00065B31" w:rsidRDefault="00065B31" w:rsidP="005B59A8">
            <w:pPr>
              <w:spacing w:after="120" w:line="360" w:lineRule="auto"/>
              <w:jc w:val="both"/>
              <w:rPr>
                <w:rFonts w:ascii="David" w:hAnsi="David" w:cs="David"/>
                <w:sz w:val="24"/>
                <w:szCs w:val="24"/>
                <w:rtl/>
              </w:rPr>
            </w:pPr>
            <w:r>
              <w:rPr>
                <w:rFonts w:ascii="David" w:hAnsi="David" w:cs="David" w:hint="cs"/>
                <w:sz w:val="24"/>
                <w:szCs w:val="24"/>
                <w:rtl/>
              </w:rPr>
              <w:t xml:space="preserve">תקן ביקורת 86 ס' 3 </w:t>
            </w:r>
            <w:r>
              <w:rPr>
                <w:rFonts w:ascii="David" w:hAnsi="David" w:cs="David"/>
                <w:sz w:val="24"/>
                <w:szCs w:val="24"/>
                <w:rtl/>
              </w:rPr>
              <w:t>–</w:t>
            </w:r>
            <w:r>
              <w:rPr>
                <w:rFonts w:ascii="David" w:hAnsi="David" w:cs="David" w:hint="cs"/>
                <w:sz w:val="24"/>
                <w:szCs w:val="24"/>
                <w:rtl/>
              </w:rPr>
              <w:t xml:space="preserve"> מהותיות </w:t>
            </w:r>
            <w:r>
              <w:rPr>
                <w:rFonts w:ascii="David" w:hAnsi="David" w:cs="David"/>
                <w:sz w:val="24"/>
                <w:szCs w:val="24"/>
                <w:rtl/>
              </w:rPr>
              <w:t>–</w:t>
            </w:r>
            <w:r>
              <w:rPr>
                <w:rFonts w:ascii="David" w:hAnsi="David" w:cs="David" w:hint="cs"/>
                <w:sz w:val="24"/>
                <w:szCs w:val="24"/>
                <w:rtl/>
              </w:rPr>
              <w:t xml:space="preserve"> הגדרה *</w:t>
            </w:r>
          </w:p>
          <w:p w:rsidR="00476469" w:rsidRPr="00065B31" w:rsidRDefault="00476469" w:rsidP="005B59A8">
            <w:pPr>
              <w:spacing w:after="120" w:line="360" w:lineRule="auto"/>
              <w:jc w:val="both"/>
              <w:rPr>
                <w:rFonts w:ascii="David" w:hAnsi="David" w:cs="David"/>
                <w:sz w:val="24"/>
                <w:szCs w:val="24"/>
                <w:rtl/>
              </w:rPr>
            </w:pPr>
            <w:r>
              <w:rPr>
                <w:rFonts w:ascii="David" w:hAnsi="David" w:cs="David" w:hint="cs"/>
                <w:sz w:val="24"/>
                <w:szCs w:val="24"/>
                <w:rtl/>
              </w:rPr>
              <w:t>וגם ת"ב 110</w:t>
            </w:r>
          </w:p>
        </w:tc>
      </w:tr>
    </w:tbl>
    <w:p w:rsidR="00065B31" w:rsidRDefault="00A052FA" w:rsidP="005B59A8">
      <w:pPr>
        <w:spacing w:after="120" w:line="360" w:lineRule="auto"/>
        <w:jc w:val="both"/>
        <w:rPr>
          <w:rFonts w:ascii="David" w:hAnsi="David" w:cs="David"/>
          <w:b/>
          <w:bCs/>
          <w:sz w:val="24"/>
          <w:szCs w:val="24"/>
          <w:rtl/>
        </w:rPr>
      </w:pPr>
      <w:r>
        <w:rPr>
          <w:rFonts w:ascii="David" w:hAnsi="David" w:cs="David" w:hint="cs"/>
          <w:b/>
          <w:bCs/>
          <w:sz w:val="24"/>
          <w:szCs w:val="24"/>
          <w:rtl/>
        </w:rPr>
        <w:t>חשוב מאד למבחן !</w:t>
      </w:r>
    </w:p>
    <w:p w:rsidR="00A052FA" w:rsidRDefault="00476469" w:rsidP="005B59A8">
      <w:pPr>
        <w:spacing w:after="120" w:line="360" w:lineRule="auto"/>
        <w:jc w:val="both"/>
        <w:rPr>
          <w:rFonts w:ascii="David" w:hAnsi="David" w:cs="David"/>
          <w:sz w:val="24"/>
          <w:szCs w:val="24"/>
          <w:rtl/>
        </w:rPr>
      </w:pPr>
      <w:r>
        <w:rPr>
          <w:rFonts w:ascii="David" w:hAnsi="David" w:cs="David" w:hint="cs"/>
          <w:sz w:val="24"/>
          <w:szCs w:val="24"/>
        </w:rPr>
        <w:t>IAS1</w:t>
      </w:r>
      <w:r>
        <w:rPr>
          <w:rFonts w:ascii="David" w:hAnsi="David" w:cs="David" w:hint="cs"/>
          <w:sz w:val="24"/>
          <w:szCs w:val="24"/>
          <w:rtl/>
        </w:rPr>
        <w:t xml:space="preserve"> </w:t>
      </w:r>
      <w:r w:rsidR="00707309">
        <w:rPr>
          <w:rFonts w:ascii="David" w:hAnsi="David" w:cs="David" w:hint="cs"/>
          <w:sz w:val="24"/>
          <w:szCs w:val="24"/>
          <w:rtl/>
        </w:rPr>
        <w:t>מגדיר מהותיות כלהלן :</w:t>
      </w:r>
    </w:p>
    <w:p w:rsidR="00707309" w:rsidRPr="00707309" w:rsidRDefault="00707309" w:rsidP="005B59A8">
      <w:pPr>
        <w:spacing w:after="120" w:line="360" w:lineRule="auto"/>
        <w:jc w:val="both"/>
        <w:rPr>
          <w:rFonts w:ascii="David" w:hAnsi="David" w:cs="David"/>
          <w:i/>
          <w:iCs/>
          <w:sz w:val="24"/>
          <w:szCs w:val="24"/>
          <w:rtl/>
        </w:rPr>
      </w:pPr>
      <w:r w:rsidRPr="00707309">
        <w:rPr>
          <w:rFonts w:ascii="David" w:hAnsi="David" w:cs="David" w:hint="cs"/>
          <w:i/>
          <w:iCs/>
          <w:sz w:val="24"/>
          <w:szCs w:val="24"/>
          <w:rtl/>
        </w:rPr>
        <w:t xml:space="preserve">"מידע הוא מהותי אם השמטתו או הצגתו באופן מוטעה בדוכ"ס עלולה להשפיע על החלטות כלכליות המתקבלות ע"י משתמשים בדוכ"ס. מהותיות תלויה בגודל ובכמות ההשמטה או במהות המצג המוטעה וזאת בהתחשב במכלול הנסיבות בהן היתה השמטה או הצגה מוטעית" </w:t>
      </w:r>
    </w:p>
    <w:p w:rsidR="00707309" w:rsidRDefault="00707309" w:rsidP="005B59A8">
      <w:pPr>
        <w:spacing w:after="120" w:line="360" w:lineRule="auto"/>
        <w:jc w:val="both"/>
        <w:rPr>
          <w:rFonts w:ascii="David" w:hAnsi="David" w:cs="David"/>
          <w:sz w:val="24"/>
          <w:szCs w:val="24"/>
          <w:rtl/>
        </w:rPr>
      </w:pPr>
      <w:r>
        <w:rPr>
          <w:rFonts w:ascii="David" w:hAnsi="David" w:cs="David" w:hint="cs"/>
          <w:sz w:val="24"/>
          <w:szCs w:val="24"/>
          <w:rtl/>
        </w:rPr>
        <w:t xml:space="preserve">לגבי תאגידים שאינם מדווחים (חברות ציבוריות וחברות פרטיות שאג"ח שלה נסחרות בבורסה- אלה חברות מדווחות), תקן חשבונאות 34 של המוסד הישראלי לתקינה חשבונאית מ01/14 קובע הגדרה זהה ותרגום של (רוב) </w:t>
      </w:r>
      <w:r>
        <w:rPr>
          <w:rFonts w:ascii="David" w:hAnsi="David" w:cs="David"/>
          <w:sz w:val="24"/>
          <w:szCs w:val="24"/>
        </w:rPr>
        <w:t>ias1</w:t>
      </w:r>
      <w:r>
        <w:rPr>
          <w:rFonts w:ascii="David" w:hAnsi="David" w:cs="David" w:hint="cs"/>
          <w:sz w:val="24"/>
          <w:szCs w:val="24"/>
          <w:rtl/>
        </w:rPr>
        <w:t>.</w:t>
      </w:r>
    </w:p>
    <w:p w:rsidR="001E4846" w:rsidRDefault="00707309" w:rsidP="005B59A8">
      <w:pPr>
        <w:spacing w:after="120" w:line="360" w:lineRule="auto"/>
        <w:jc w:val="both"/>
        <w:rPr>
          <w:rFonts w:ascii="David" w:hAnsi="David" w:cs="David"/>
          <w:sz w:val="24"/>
          <w:szCs w:val="24"/>
          <w:rtl/>
        </w:rPr>
      </w:pPr>
      <w:r>
        <w:rPr>
          <w:rFonts w:ascii="David" w:hAnsi="David" w:cs="David" w:hint="cs"/>
          <w:sz w:val="24"/>
          <w:szCs w:val="24"/>
          <w:rtl/>
        </w:rPr>
        <w:t>כיוון שההגדרה עלולה להתפרש באופן לא נאות ע"י משתמשים בדוכ"ס קבעה הרשות לני"ע, שתפקידה הוא לשמור על האינטרסים של ציבור המשקיעים</w:t>
      </w:r>
      <w:r w:rsidR="00882F98">
        <w:rPr>
          <w:rFonts w:ascii="David" w:hAnsi="David" w:cs="David" w:hint="cs"/>
          <w:sz w:val="24"/>
          <w:szCs w:val="24"/>
          <w:rtl/>
        </w:rPr>
        <w:t xml:space="preserve">, </w:t>
      </w:r>
      <w:r>
        <w:rPr>
          <w:rFonts w:ascii="David" w:hAnsi="David" w:cs="David" w:hint="cs"/>
          <w:sz w:val="24"/>
          <w:szCs w:val="24"/>
          <w:rtl/>
        </w:rPr>
        <w:t xml:space="preserve">החלטה בנושא מהותיות 99-4 </w:t>
      </w:r>
      <w:r w:rsidRPr="00707309">
        <w:rPr>
          <w:rFonts w:ascii="David" w:hAnsi="David" w:cs="David" w:hint="cs"/>
          <w:sz w:val="24"/>
          <w:szCs w:val="24"/>
          <w:u w:val="single"/>
          <w:rtl/>
        </w:rPr>
        <w:t>שעניינה</w:t>
      </w:r>
      <w:r>
        <w:rPr>
          <w:rFonts w:ascii="David" w:hAnsi="David" w:cs="David" w:hint="cs"/>
          <w:sz w:val="24"/>
          <w:szCs w:val="24"/>
          <w:u w:val="single"/>
          <w:rtl/>
        </w:rPr>
        <w:t xml:space="preserve"> חשבונאי נטו</w:t>
      </w:r>
      <w:r>
        <w:rPr>
          <w:rFonts w:ascii="David" w:hAnsi="David" w:cs="David" w:hint="cs"/>
          <w:sz w:val="24"/>
          <w:szCs w:val="24"/>
          <w:rtl/>
        </w:rPr>
        <w:t xml:space="preserve"> אין היבט ביקורת . </w:t>
      </w:r>
    </w:p>
    <w:p w:rsidR="00707309" w:rsidRDefault="00707309" w:rsidP="005B59A8">
      <w:pPr>
        <w:spacing w:after="120" w:line="360" w:lineRule="auto"/>
        <w:jc w:val="both"/>
        <w:rPr>
          <w:rFonts w:ascii="David" w:hAnsi="David" w:cs="David" w:hint="cs"/>
          <w:sz w:val="24"/>
          <w:szCs w:val="24"/>
          <w:rtl/>
        </w:rPr>
      </w:pPr>
      <w:r>
        <w:rPr>
          <w:rFonts w:ascii="David" w:hAnsi="David" w:cs="David" w:hint="cs"/>
          <w:sz w:val="24"/>
          <w:szCs w:val="24"/>
          <w:rtl/>
        </w:rPr>
        <w:t xml:space="preserve">מהותיות נבחנת הן בהיבט האיכותי, והן בהיבט הכמותי וככל שלא מדובר בתאגיד מדווח סף הכמותיות הוא 10% בפרקטיקה המקובלת. </w:t>
      </w:r>
    </w:p>
    <w:p w:rsidR="005B59A8" w:rsidRDefault="005B59A8" w:rsidP="005B59A8">
      <w:pPr>
        <w:spacing w:after="120" w:line="360" w:lineRule="auto"/>
        <w:jc w:val="both"/>
        <w:rPr>
          <w:rFonts w:ascii="David" w:hAnsi="David" w:cs="David"/>
          <w:b/>
          <w:bCs/>
          <w:sz w:val="24"/>
          <w:szCs w:val="24"/>
          <w:u w:val="single"/>
          <w:rtl/>
        </w:rPr>
      </w:pPr>
    </w:p>
    <w:p w:rsidR="005B59A8" w:rsidRDefault="005B59A8" w:rsidP="005B59A8">
      <w:pPr>
        <w:spacing w:after="120" w:line="360" w:lineRule="auto"/>
        <w:jc w:val="both"/>
        <w:rPr>
          <w:rFonts w:ascii="David" w:hAnsi="David" w:cs="David"/>
          <w:b/>
          <w:bCs/>
          <w:sz w:val="24"/>
          <w:szCs w:val="24"/>
          <w:u w:val="single"/>
          <w:rtl/>
        </w:rPr>
      </w:pPr>
    </w:p>
    <w:p w:rsidR="00707309" w:rsidRPr="00882F98" w:rsidRDefault="00707309" w:rsidP="00882F98">
      <w:pPr>
        <w:spacing w:after="120" w:line="360" w:lineRule="auto"/>
        <w:jc w:val="center"/>
        <w:rPr>
          <w:rFonts w:ascii="David" w:hAnsi="David" w:cs="David" w:hint="cs"/>
          <w:b/>
          <w:bCs/>
          <w:color w:val="92D050"/>
          <w:sz w:val="28"/>
          <w:szCs w:val="28"/>
          <w:u w:val="single"/>
          <w:rtl/>
        </w:rPr>
      </w:pPr>
      <w:r w:rsidRPr="00882F98">
        <w:rPr>
          <w:rFonts w:ascii="David" w:hAnsi="David" w:cs="David" w:hint="cs"/>
          <w:b/>
          <w:bCs/>
          <w:color w:val="92D050"/>
          <w:sz w:val="28"/>
          <w:szCs w:val="28"/>
          <w:u w:val="single"/>
          <w:rtl/>
        </w:rPr>
        <w:lastRenderedPageBreak/>
        <w:t>החלטה הרשות לני"ע 99-4 עודכנה ב-31/12/14</w:t>
      </w:r>
    </w:p>
    <w:p w:rsidR="00932DE6" w:rsidRDefault="00707309" w:rsidP="005B59A8">
      <w:pPr>
        <w:spacing w:after="120" w:line="360" w:lineRule="auto"/>
        <w:jc w:val="both"/>
        <w:rPr>
          <w:rFonts w:ascii="David" w:hAnsi="David" w:cs="David"/>
          <w:sz w:val="24"/>
          <w:szCs w:val="24"/>
          <w:rtl/>
        </w:rPr>
      </w:pPr>
      <w:r>
        <w:rPr>
          <w:rFonts w:ascii="David" w:hAnsi="David" w:cs="David" w:hint="cs"/>
          <w:sz w:val="24"/>
          <w:szCs w:val="24"/>
          <w:rtl/>
        </w:rPr>
        <w:t xml:space="preserve">עפ"י הנחיית הרשות לני"ע </w:t>
      </w:r>
      <w:r w:rsidR="00932DE6">
        <w:rPr>
          <w:rFonts w:ascii="David" w:hAnsi="David" w:cs="David" w:hint="cs"/>
          <w:sz w:val="24"/>
          <w:szCs w:val="24"/>
          <w:rtl/>
        </w:rPr>
        <w:t>יש חלוקה להיבט כמותי ולהיבט איכותי כדלקמן:</w:t>
      </w:r>
    </w:p>
    <w:p w:rsidR="00932DE6" w:rsidRDefault="00932DE6" w:rsidP="005B59A8">
      <w:pPr>
        <w:spacing w:after="120" w:line="360" w:lineRule="auto"/>
        <w:jc w:val="both"/>
        <w:rPr>
          <w:rFonts w:ascii="David" w:hAnsi="David" w:cs="David"/>
          <w:sz w:val="24"/>
          <w:szCs w:val="24"/>
          <w:rtl/>
        </w:rPr>
      </w:pPr>
      <w:r>
        <w:rPr>
          <w:rFonts w:ascii="David" w:hAnsi="David" w:cs="David" w:hint="cs"/>
          <w:b/>
          <w:bCs/>
          <w:sz w:val="24"/>
          <w:szCs w:val="24"/>
          <w:rtl/>
        </w:rPr>
        <w:t xml:space="preserve">היבט כמותי- </w:t>
      </w:r>
      <w:r w:rsidRPr="00932DE6">
        <w:rPr>
          <w:rFonts w:ascii="David" w:hAnsi="David" w:cs="David" w:hint="cs"/>
          <w:sz w:val="24"/>
          <w:szCs w:val="24"/>
          <w:rtl/>
        </w:rPr>
        <w:t>"</w:t>
      </w:r>
      <w:r>
        <w:rPr>
          <w:rFonts w:ascii="David" w:hAnsi="David" w:cs="David" w:hint="cs"/>
          <w:sz w:val="24"/>
          <w:szCs w:val="24"/>
          <w:rtl/>
        </w:rPr>
        <w:t>חזקה (ניתנת לסתירה הדיר' וההנהלה יכולים לקבוע שהיא ניתנת לסתירה ויפרטו את ההסבר לכך בדו"ח הדירקטוריון) כי טעות עוברת את הסף הכמותי היא מהותית המחייבת תיקון דוכ"ס כאשר ההשפעה היא לפחות אחד מהבאים :</w:t>
      </w:r>
    </w:p>
    <w:p w:rsidR="00932DE6" w:rsidRPr="00932DE6" w:rsidRDefault="00932DE6" w:rsidP="007937A2">
      <w:pPr>
        <w:pStyle w:val="a7"/>
        <w:numPr>
          <w:ilvl w:val="0"/>
          <w:numId w:val="7"/>
        </w:numPr>
        <w:spacing w:after="120" w:line="360" w:lineRule="auto"/>
        <w:jc w:val="both"/>
        <w:rPr>
          <w:rFonts w:ascii="David" w:hAnsi="David" w:cs="David" w:hint="cs"/>
          <w:b/>
          <w:bCs/>
          <w:sz w:val="24"/>
          <w:szCs w:val="24"/>
        </w:rPr>
      </w:pPr>
      <w:r w:rsidRPr="00932DE6">
        <w:rPr>
          <w:rFonts w:ascii="David" w:hAnsi="David" w:cs="David" w:hint="cs"/>
          <w:sz w:val="24"/>
          <w:szCs w:val="24"/>
          <w:rtl/>
        </w:rPr>
        <w:t xml:space="preserve">5% </w:t>
      </w:r>
      <w:r>
        <w:rPr>
          <w:rFonts w:ascii="David" w:hAnsi="David" w:cs="David" w:hint="cs"/>
          <w:sz w:val="24"/>
          <w:szCs w:val="24"/>
          <w:rtl/>
        </w:rPr>
        <w:t>או יותר ביחס לרווח או ההפסד הנקי</w:t>
      </w:r>
      <w:r>
        <w:rPr>
          <w:rFonts w:ascii="David" w:hAnsi="David" w:cs="David" w:hint="cs"/>
          <w:b/>
          <w:bCs/>
          <w:sz w:val="24"/>
          <w:szCs w:val="24"/>
          <w:rtl/>
        </w:rPr>
        <w:t xml:space="preserve"> </w:t>
      </w:r>
      <w:r>
        <w:rPr>
          <w:rFonts w:ascii="David" w:hAnsi="David" w:cs="David" w:hint="cs"/>
          <w:sz w:val="24"/>
          <w:szCs w:val="24"/>
          <w:rtl/>
        </w:rPr>
        <w:t>(בערך מוחלט)</w:t>
      </w:r>
      <w:r>
        <w:rPr>
          <w:rFonts w:ascii="David" w:hAnsi="David" w:cs="David" w:hint="cs"/>
          <w:b/>
          <w:bCs/>
          <w:sz w:val="24"/>
          <w:szCs w:val="24"/>
          <w:rtl/>
        </w:rPr>
        <w:t>.</w:t>
      </w:r>
    </w:p>
    <w:p w:rsidR="00932DE6" w:rsidRPr="00932DE6" w:rsidRDefault="00932DE6" w:rsidP="007937A2">
      <w:pPr>
        <w:pStyle w:val="a7"/>
        <w:numPr>
          <w:ilvl w:val="0"/>
          <w:numId w:val="7"/>
        </w:numPr>
        <w:spacing w:after="120" w:line="360" w:lineRule="auto"/>
        <w:jc w:val="both"/>
        <w:rPr>
          <w:rFonts w:ascii="David" w:hAnsi="David" w:cs="David" w:hint="cs"/>
          <w:b/>
          <w:bCs/>
          <w:sz w:val="24"/>
          <w:szCs w:val="24"/>
        </w:rPr>
      </w:pPr>
      <w:r>
        <w:rPr>
          <w:rFonts w:ascii="David" w:hAnsi="David" w:cs="David" w:hint="cs"/>
          <w:sz w:val="24"/>
          <w:szCs w:val="24"/>
          <w:rtl/>
        </w:rPr>
        <w:t>5% או יותר ביחס לרווח או ההפסד הכולל (בערך מוחלט).</w:t>
      </w:r>
    </w:p>
    <w:p w:rsidR="00932DE6" w:rsidRPr="00932DE6" w:rsidRDefault="00932DE6" w:rsidP="007937A2">
      <w:pPr>
        <w:pStyle w:val="a7"/>
        <w:numPr>
          <w:ilvl w:val="0"/>
          <w:numId w:val="7"/>
        </w:numPr>
        <w:spacing w:after="120" w:line="360" w:lineRule="auto"/>
        <w:jc w:val="both"/>
        <w:rPr>
          <w:rFonts w:ascii="David" w:hAnsi="David" w:cs="David" w:hint="cs"/>
          <w:b/>
          <w:bCs/>
          <w:sz w:val="24"/>
          <w:szCs w:val="24"/>
        </w:rPr>
      </w:pPr>
      <w:r>
        <w:rPr>
          <w:rFonts w:ascii="David" w:hAnsi="David" w:cs="David" w:hint="cs"/>
          <w:sz w:val="24"/>
          <w:szCs w:val="24"/>
          <w:rtl/>
        </w:rPr>
        <w:t>5% או יותר ביחס להון העצמי / גירעון בהון (בערך מוחלט).</w:t>
      </w:r>
    </w:p>
    <w:p w:rsidR="00932DE6" w:rsidRDefault="00932DE6" w:rsidP="005B59A8">
      <w:pPr>
        <w:spacing w:after="120" w:line="360" w:lineRule="auto"/>
        <w:jc w:val="both"/>
        <w:rPr>
          <w:rFonts w:ascii="David" w:hAnsi="David" w:cs="David"/>
          <w:sz w:val="24"/>
          <w:szCs w:val="24"/>
          <w:rtl/>
        </w:rPr>
      </w:pPr>
      <w:r>
        <w:rPr>
          <w:rFonts w:ascii="David" w:hAnsi="David" w:cs="David" w:hint="cs"/>
          <w:b/>
          <w:bCs/>
          <w:sz w:val="24"/>
          <w:szCs w:val="24"/>
          <w:rtl/>
        </w:rPr>
        <w:t xml:space="preserve">החזקה ניתנת לסתירה- </w:t>
      </w:r>
      <w:r>
        <w:rPr>
          <w:rFonts w:ascii="David" w:hAnsi="David" w:cs="David" w:hint="cs"/>
          <w:sz w:val="24"/>
          <w:szCs w:val="24"/>
          <w:rtl/>
        </w:rPr>
        <w:t xml:space="preserve">כלומר, ייתכן וקיימת עמידה בסף הכמותי שהמשמעות היא 5% או יותר אבל ההנהלה הגיעה למסקנה כי לא מדובר בטעות מהותית והיא מבקשת לסתור את החזקה הכמותית. </w:t>
      </w:r>
    </w:p>
    <w:p w:rsidR="00932DE6" w:rsidRDefault="00932DE6" w:rsidP="005B59A8">
      <w:pPr>
        <w:spacing w:after="120" w:line="360" w:lineRule="auto"/>
        <w:jc w:val="both"/>
        <w:rPr>
          <w:rFonts w:ascii="David" w:hAnsi="David" w:cs="David"/>
          <w:sz w:val="24"/>
          <w:szCs w:val="24"/>
          <w:rtl/>
        </w:rPr>
      </w:pPr>
      <w:r>
        <w:rPr>
          <w:rFonts w:ascii="David" w:hAnsi="David" w:cs="David" w:hint="cs"/>
          <w:sz w:val="24"/>
          <w:szCs w:val="24"/>
          <w:rtl/>
        </w:rPr>
        <w:t xml:space="preserve">במקרה כזה היא חייבת לבסס את עמדתה תוך ניתוח הנסיבות והשיקולים המעידים על היעדר מהותיות של הטעות, לשם אותן קבלת החלטות ע"י המשתמשים בדוכ"ס וזאת על אף שעברו את מבחן הסף הכמותי. </w:t>
      </w:r>
    </w:p>
    <w:p w:rsidR="00932DE6" w:rsidRDefault="00932DE6" w:rsidP="005B59A8">
      <w:pPr>
        <w:spacing w:after="120" w:line="360" w:lineRule="auto"/>
        <w:jc w:val="both"/>
        <w:rPr>
          <w:rFonts w:ascii="David" w:hAnsi="David" w:cs="David"/>
          <w:sz w:val="24"/>
          <w:szCs w:val="24"/>
          <w:rtl/>
        </w:rPr>
      </w:pPr>
      <w:r>
        <w:rPr>
          <w:rFonts w:ascii="David" w:hAnsi="David" w:cs="David" w:hint="cs"/>
          <w:sz w:val="24"/>
          <w:szCs w:val="24"/>
          <w:rtl/>
        </w:rPr>
        <w:t>בתיקון שנקבע ב-12/13 נקבעו 3 תיקונים, שניים מהם מתייחסים להיבט הכמותי (והם מקלים):</w:t>
      </w:r>
    </w:p>
    <w:p w:rsidR="00932DE6" w:rsidRDefault="00932DE6" w:rsidP="007937A2">
      <w:pPr>
        <w:pStyle w:val="a7"/>
        <w:numPr>
          <w:ilvl w:val="0"/>
          <w:numId w:val="8"/>
        </w:numPr>
        <w:spacing w:after="120" w:line="360" w:lineRule="auto"/>
        <w:jc w:val="both"/>
        <w:rPr>
          <w:rFonts w:ascii="David" w:hAnsi="David" w:cs="David"/>
          <w:sz w:val="24"/>
          <w:szCs w:val="24"/>
        </w:rPr>
      </w:pPr>
      <w:r>
        <w:rPr>
          <w:rFonts w:ascii="David" w:hAnsi="David" w:cs="David" w:hint="cs"/>
          <w:sz w:val="24"/>
          <w:szCs w:val="24"/>
          <w:rtl/>
        </w:rPr>
        <w:t xml:space="preserve">תאגיד עשוי לסבור שהטעות אינה מהותית במידה והרווח או ההפסד (הנקי או הכולל) הוא נמוך מאד עד כדי כך שהוא לא מייצג את תוצאות פעילותו בתקופות המדווחות הקודמות והתאגיד לא צופה שיחזור על עצמו בתקופות המדווחות הבאות. </w:t>
      </w:r>
      <w:r>
        <w:rPr>
          <w:rFonts w:ascii="David" w:hAnsi="David" w:cs="David" w:hint="cs"/>
          <w:b/>
          <w:bCs/>
          <w:sz w:val="24"/>
          <w:szCs w:val="24"/>
          <w:rtl/>
        </w:rPr>
        <w:t xml:space="preserve">למשל: </w:t>
      </w:r>
      <w:r>
        <w:rPr>
          <w:rFonts w:ascii="David" w:hAnsi="David" w:cs="David" w:hint="cs"/>
          <w:sz w:val="24"/>
          <w:szCs w:val="24"/>
          <w:rtl/>
        </w:rPr>
        <w:t xml:space="preserve">בפעולה ח"פ שבוצעה באותה תקופה. </w:t>
      </w:r>
    </w:p>
    <w:p w:rsidR="005B59A8" w:rsidRPr="005B59A8" w:rsidRDefault="005B59A8" w:rsidP="007937A2">
      <w:pPr>
        <w:pStyle w:val="a7"/>
        <w:numPr>
          <w:ilvl w:val="0"/>
          <w:numId w:val="8"/>
        </w:numPr>
        <w:spacing w:after="120" w:line="360" w:lineRule="auto"/>
        <w:jc w:val="both"/>
        <w:rPr>
          <w:rFonts w:ascii="David" w:hAnsi="David" w:cs="David" w:hint="cs"/>
          <w:sz w:val="24"/>
          <w:szCs w:val="24"/>
          <w:rtl/>
        </w:rPr>
      </w:pPr>
      <w:r>
        <w:rPr>
          <w:rFonts w:ascii="David" w:hAnsi="David" w:cs="David" w:hint="cs"/>
          <w:sz w:val="24"/>
          <w:szCs w:val="24"/>
          <w:rtl/>
        </w:rPr>
        <w:t xml:space="preserve">טעות בדוכ"ס לתקופות ביניים שהיא מהותית בהתאם למבחנים שנקבעו, אבל היא לא מהותית ביחס לרווח או ההפסד הנקי </w:t>
      </w:r>
      <w:r>
        <w:rPr>
          <w:rFonts w:ascii="David" w:hAnsi="David" w:cs="David" w:hint="cs"/>
          <w:b/>
          <w:bCs/>
          <w:sz w:val="24"/>
          <w:szCs w:val="24"/>
          <w:rtl/>
        </w:rPr>
        <w:t>ו</w:t>
      </w:r>
      <w:r>
        <w:rPr>
          <w:rFonts w:ascii="David" w:hAnsi="David" w:cs="David" w:hint="cs"/>
          <w:sz w:val="24"/>
          <w:szCs w:val="24"/>
          <w:rtl/>
        </w:rPr>
        <w:t>הכולל של השנה הכולל את תקופת הביניים שבנתוניה התגלתה הטעות</w:t>
      </w:r>
      <w:r w:rsidR="00882F98">
        <w:rPr>
          <w:rFonts w:ascii="David" w:hAnsi="David" w:cs="David" w:hint="cs"/>
          <w:sz w:val="24"/>
          <w:szCs w:val="24"/>
          <w:rtl/>
        </w:rPr>
        <w:t xml:space="preserve">, </w:t>
      </w:r>
      <w:r>
        <w:rPr>
          <w:rFonts w:ascii="David" w:hAnsi="David" w:cs="David" w:hint="cs"/>
          <w:sz w:val="24"/>
          <w:szCs w:val="24"/>
          <w:rtl/>
        </w:rPr>
        <w:t xml:space="preserve">וביחס לרווח או ההפסד הנקי והכולל החזוי, לשנה השוטפת בכללותה שבה השפעת הטעות האמורה באה לידי ביטוי. </w:t>
      </w:r>
    </w:p>
    <w:p w:rsidR="00707309" w:rsidRDefault="00932DE6" w:rsidP="005B59A8">
      <w:pPr>
        <w:spacing w:after="120" w:line="360" w:lineRule="auto"/>
        <w:jc w:val="both"/>
        <w:rPr>
          <w:rFonts w:ascii="David" w:hAnsi="David" w:cs="David"/>
          <w:sz w:val="24"/>
          <w:szCs w:val="24"/>
          <w:rtl/>
        </w:rPr>
      </w:pPr>
      <w:r>
        <w:rPr>
          <w:rFonts w:ascii="David" w:hAnsi="David" w:cs="David" w:hint="cs"/>
          <w:b/>
          <w:bCs/>
          <w:sz w:val="24"/>
          <w:szCs w:val="24"/>
          <w:rtl/>
        </w:rPr>
        <w:t>היבט איכותי</w:t>
      </w:r>
      <w:r>
        <w:rPr>
          <w:rFonts w:ascii="David" w:hAnsi="David" w:cs="David" w:hint="cs"/>
          <w:sz w:val="24"/>
          <w:szCs w:val="24"/>
          <w:rtl/>
        </w:rPr>
        <w:t xml:space="preserve"> </w:t>
      </w:r>
      <w:r w:rsidR="00882F98">
        <w:rPr>
          <w:rFonts w:ascii="David" w:hAnsi="David" w:cs="David"/>
          <w:sz w:val="24"/>
          <w:szCs w:val="24"/>
          <w:rtl/>
        </w:rPr>
        <w:t>–</w:t>
      </w:r>
      <w:r w:rsidR="00882F98">
        <w:rPr>
          <w:rFonts w:ascii="David" w:hAnsi="David" w:cs="David" w:hint="cs"/>
          <w:sz w:val="24"/>
          <w:szCs w:val="24"/>
          <w:rtl/>
        </w:rPr>
        <w:t xml:space="preserve"> מהותיות נגזרת גם מההיבט האיכותי, ולא רק מההיבט הכמותי . לפיכך, בחינה של שיקולים איכותיים למהותיות של טעות, עשויה להביא למסקנה לפיה הטעות היא מהותית. וזאת על אף ששיעורה נמוך מהסף הכמותי (5%) . </w:t>
      </w:r>
    </w:p>
    <w:p w:rsidR="00882F98" w:rsidRPr="00882F98" w:rsidRDefault="00882F98" w:rsidP="005B59A8">
      <w:pPr>
        <w:spacing w:after="120" w:line="360" w:lineRule="auto"/>
        <w:jc w:val="both"/>
        <w:rPr>
          <w:rFonts w:ascii="David" w:hAnsi="David" w:cs="David"/>
          <w:b/>
          <w:bCs/>
          <w:sz w:val="24"/>
          <w:szCs w:val="24"/>
          <w:u w:val="single"/>
          <w:rtl/>
        </w:rPr>
      </w:pPr>
      <w:r w:rsidRPr="00882F98">
        <w:rPr>
          <w:rFonts w:ascii="David" w:hAnsi="David" w:cs="David" w:hint="cs"/>
          <w:b/>
          <w:bCs/>
          <w:sz w:val="24"/>
          <w:szCs w:val="24"/>
          <w:u w:val="single"/>
          <w:rtl/>
        </w:rPr>
        <w:t>להלן מספר דוגמאות להחלטת הרשות למבחנים איכותיים</w:t>
      </w:r>
    </w:p>
    <w:p w:rsidR="00882F98" w:rsidRPr="00707309" w:rsidRDefault="00882F98" w:rsidP="005B59A8">
      <w:pPr>
        <w:spacing w:after="120" w:line="360" w:lineRule="auto"/>
        <w:jc w:val="both"/>
        <w:rPr>
          <w:rFonts w:ascii="David" w:hAnsi="David" w:cs="David" w:hint="cs"/>
          <w:sz w:val="24"/>
          <w:szCs w:val="24"/>
          <w:rtl/>
        </w:rPr>
      </w:pPr>
      <w:r>
        <w:rPr>
          <w:rFonts w:ascii="David" w:hAnsi="David" w:cs="David" w:hint="cs"/>
          <w:sz w:val="24"/>
          <w:szCs w:val="24"/>
          <w:rtl/>
        </w:rPr>
        <w:t>(</w:t>
      </w:r>
      <w:r>
        <w:rPr>
          <w:rFonts w:ascii="David" w:hAnsi="David" w:cs="David" w:hint="cs"/>
          <w:b/>
          <w:bCs/>
          <w:sz w:val="24"/>
          <w:szCs w:val="24"/>
          <w:rtl/>
        </w:rPr>
        <w:t>במקום שיש החלטת הרשות לני"ע בנושא כלשהו זה בא לסגור פרצה מסוימת</w:t>
      </w:r>
      <w:r>
        <w:rPr>
          <w:rFonts w:ascii="David" w:hAnsi="David" w:cs="David" w:hint="cs"/>
          <w:sz w:val="24"/>
          <w:szCs w:val="24"/>
          <w:rtl/>
        </w:rPr>
        <w:t>)</w:t>
      </w:r>
    </w:p>
    <w:p w:rsidR="00116E42" w:rsidRDefault="00116E42" w:rsidP="007937A2">
      <w:pPr>
        <w:pStyle w:val="a7"/>
        <w:numPr>
          <w:ilvl w:val="0"/>
          <w:numId w:val="9"/>
        </w:numPr>
        <w:spacing w:after="120" w:line="360" w:lineRule="auto"/>
        <w:jc w:val="both"/>
        <w:rPr>
          <w:rFonts w:ascii="David" w:hAnsi="David" w:cs="David"/>
          <w:sz w:val="24"/>
          <w:szCs w:val="24"/>
        </w:rPr>
      </w:pPr>
      <w:r>
        <w:rPr>
          <w:rFonts w:ascii="David" w:hAnsi="David" w:cs="David" w:hint="cs"/>
          <w:sz w:val="24"/>
          <w:szCs w:val="24"/>
          <w:rtl/>
        </w:rPr>
        <w:t>בחינה האם כתוצאה מהטעות לא ניתן להבחין בשינויים או ברווחיות או במגמות אחרות בדוכ"ס. (זהו התיקון השלישי מ-12/13) לדוגמא כאשר פעילות התאגיד מאופיינת בעונתיות .</w:t>
      </w:r>
    </w:p>
    <w:p w:rsidR="00116E42" w:rsidRDefault="00877A5B" w:rsidP="007937A2">
      <w:pPr>
        <w:pStyle w:val="a7"/>
        <w:numPr>
          <w:ilvl w:val="0"/>
          <w:numId w:val="9"/>
        </w:numPr>
        <w:spacing w:after="120" w:line="360" w:lineRule="auto"/>
        <w:jc w:val="both"/>
        <w:rPr>
          <w:rFonts w:ascii="David" w:hAnsi="David" w:cs="David"/>
          <w:sz w:val="24"/>
          <w:szCs w:val="24"/>
        </w:rPr>
      </w:pPr>
      <w:r>
        <w:rPr>
          <w:rFonts w:ascii="David" w:hAnsi="David" w:cs="David" w:hint="cs"/>
          <w:sz w:val="24"/>
          <w:szCs w:val="24"/>
          <w:rtl/>
        </w:rPr>
        <w:t xml:space="preserve">בחינה האם הטעות הופכת רווח להפסד או להיפך. </w:t>
      </w:r>
    </w:p>
    <w:p w:rsidR="00877A5B" w:rsidRDefault="00877A5B" w:rsidP="007937A2">
      <w:pPr>
        <w:pStyle w:val="a7"/>
        <w:numPr>
          <w:ilvl w:val="0"/>
          <w:numId w:val="9"/>
        </w:numPr>
        <w:spacing w:after="120" w:line="360" w:lineRule="auto"/>
        <w:jc w:val="both"/>
        <w:rPr>
          <w:rFonts w:ascii="David" w:hAnsi="David" w:cs="David" w:hint="cs"/>
          <w:sz w:val="24"/>
          <w:szCs w:val="24"/>
        </w:rPr>
      </w:pPr>
      <w:r>
        <w:rPr>
          <w:rFonts w:ascii="David" w:hAnsi="David" w:cs="David" w:hint="cs"/>
          <w:sz w:val="24"/>
          <w:szCs w:val="24"/>
          <w:rtl/>
        </w:rPr>
        <w:t>האם הטעות משפיעה על עמידת התאגיד באמות מידה פיננסיות או בדרישות חוזיות אחרות.</w:t>
      </w:r>
    </w:p>
    <w:p w:rsidR="00877A5B" w:rsidRDefault="00F03456" w:rsidP="007937A2">
      <w:pPr>
        <w:pStyle w:val="a7"/>
        <w:numPr>
          <w:ilvl w:val="0"/>
          <w:numId w:val="9"/>
        </w:numPr>
        <w:spacing w:after="120" w:line="360" w:lineRule="auto"/>
        <w:jc w:val="both"/>
        <w:rPr>
          <w:rFonts w:ascii="David" w:hAnsi="David" w:cs="David" w:hint="cs"/>
          <w:sz w:val="24"/>
          <w:szCs w:val="24"/>
        </w:rPr>
      </w:pPr>
      <w:r>
        <w:rPr>
          <w:rFonts w:ascii="David" w:hAnsi="David" w:cs="David" w:hint="cs"/>
          <w:sz w:val="24"/>
          <w:szCs w:val="24"/>
          <w:rtl/>
        </w:rPr>
        <w:lastRenderedPageBreak/>
        <w:t>בחינה האם הטעות מביאה לגידול בתגמולי ההנהלה (למשל: ע"י עמידה ביעדים שנקבעו המזכים מנהלים בבונוסים ובהטבות מבוססות מניות).</w:t>
      </w:r>
    </w:p>
    <w:p w:rsidR="00F03456" w:rsidRDefault="00F03456" w:rsidP="007937A2">
      <w:pPr>
        <w:pStyle w:val="a7"/>
        <w:numPr>
          <w:ilvl w:val="0"/>
          <w:numId w:val="9"/>
        </w:numPr>
        <w:spacing w:after="120" w:line="360" w:lineRule="auto"/>
        <w:jc w:val="both"/>
        <w:rPr>
          <w:rFonts w:ascii="David" w:hAnsi="David" w:cs="David" w:hint="cs"/>
          <w:sz w:val="24"/>
          <w:szCs w:val="24"/>
        </w:rPr>
      </w:pPr>
      <w:r>
        <w:rPr>
          <w:rFonts w:ascii="David" w:hAnsi="David" w:cs="David" w:hint="cs"/>
          <w:sz w:val="24"/>
          <w:szCs w:val="24"/>
          <w:rtl/>
        </w:rPr>
        <w:t>בחינה האם הטעות עלולה להסוות פעילות בלתי חוקית בתאגיד .</w:t>
      </w:r>
    </w:p>
    <w:p w:rsidR="00F03456" w:rsidRDefault="00F03456" w:rsidP="007937A2">
      <w:pPr>
        <w:pStyle w:val="a7"/>
        <w:numPr>
          <w:ilvl w:val="0"/>
          <w:numId w:val="9"/>
        </w:numPr>
        <w:spacing w:after="120" w:line="360" w:lineRule="auto"/>
        <w:jc w:val="both"/>
        <w:rPr>
          <w:rFonts w:ascii="David" w:hAnsi="David" w:cs="David" w:hint="cs"/>
          <w:sz w:val="24"/>
          <w:szCs w:val="24"/>
        </w:rPr>
      </w:pPr>
      <w:r>
        <w:rPr>
          <w:rFonts w:ascii="David" w:hAnsi="David" w:cs="David" w:hint="cs"/>
          <w:sz w:val="24"/>
          <w:szCs w:val="24"/>
          <w:rtl/>
        </w:rPr>
        <w:t>שינוי סיווג בין סעיפים שונים בדוכ"ס או טעות בביאורים בדוכ"ס .</w:t>
      </w:r>
    </w:p>
    <w:p w:rsidR="00F03456" w:rsidRDefault="00F03456" w:rsidP="007937A2">
      <w:pPr>
        <w:pStyle w:val="a7"/>
        <w:numPr>
          <w:ilvl w:val="0"/>
          <w:numId w:val="9"/>
        </w:numPr>
        <w:spacing w:after="120" w:line="360" w:lineRule="auto"/>
        <w:jc w:val="both"/>
        <w:rPr>
          <w:rFonts w:ascii="David" w:hAnsi="David" w:cs="David"/>
          <w:sz w:val="24"/>
          <w:szCs w:val="24"/>
        </w:rPr>
      </w:pPr>
      <w:r>
        <w:rPr>
          <w:rFonts w:ascii="David" w:hAnsi="David" w:cs="David" w:hint="cs"/>
          <w:sz w:val="24"/>
          <w:szCs w:val="24"/>
          <w:rtl/>
        </w:rPr>
        <w:t xml:space="preserve">בחינת מס' פריטים שקיימת בהם טעות לא מהותית בכל סעיף בנפרד אבל יחד ההשפעה מסתכמת למהותית . </w:t>
      </w:r>
    </w:p>
    <w:p w:rsidR="0092408A" w:rsidRDefault="0092408A" w:rsidP="0092408A">
      <w:pPr>
        <w:spacing w:after="120" w:line="360" w:lineRule="auto"/>
        <w:ind w:left="360"/>
        <w:jc w:val="both"/>
        <w:rPr>
          <w:rFonts w:ascii="David" w:hAnsi="David" w:cs="David" w:hint="cs"/>
          <w:b/>
          <w:bCs/>
          <w:sz w:val="24"/>
          <w:szCs w:val="24"/>
          <w:u w:val="single"/>
          <w:rtl/>
        </w:rPr>
      </w:pPr>
      <w:r>
        <w:rPr>
          <w:rFonts w:ascii="David" w:hAnsi="David" w:cs="David" w:hint="cs"/>
          <w:b/>
          <w:bCs/>
          <w:sz w:val="24"/>
          <w:szCs w:val="24"/>
          <w:u w:val="single"/>
          <w:rtl/>
        </w:rPr>
        <w:t>אופן תיקון דוכ"ס שכבר פורסמו וכוללים טעות מהותית</w:t>
      </w:r>
    </w:p>
    <w:p w:rsidR="0092408A" w:rsidRDefault="0092408A" w:rsidP="0092408A">
      <w:pPr>
        <w:spacing w:after="120" w:line="360" w:lineRule="auto"/>
        <w:ind w:left="360"/>
        <w:jc w:val="both"/>
        <w:rPr>
          <w:rFonts w:ascii="David" w:hAnsi="David" w:cs="David" w:hint="cs"/>
          <w:sz w:val="24"/>
          <w:szCs w:val="24"/>
          <w:rtl/>
        </w:rPr>
      </w:pPr>
      <w:r>
        <w:rPr>
          <w:rFonts w:ascii="David" w:hAnsi="David" w:cs="David" w:hint="cs"/>
          <w:sz w:val="24"/>
          <w:szCs w:val="24"/>
          <w:rtl/>
        </w:rPr>
        <w:t>אם התגלתה טעות מהותית בדוכ"ס שכבר פורסמו , החלטת הרשות לני"ע קובעת , שיש לנהוג בהתאם ל-</w:t>
      </w:r>
      <w:r>
        <w:rPr>
          <w:rFonts w:ascii="David" w:hAnsi="David" w:cs="David" w:hint="cs"/>
          <w:sz w:val="24"/>
          <w:szCs w:val="24"/>
        </w:rPr>
        <w:t>IAS8</w:t>
      </w:r>
      <w:r>
        <w:rPr>
          <w:rFonts w:ascii="David" w:hAnsi="David" w:cs="David" w:hint="cs"/>
          <w:sz w:val="24"/>
          <w:szCs w:val="24"/>
          <w:rtl/>
        </w:rPr>
        <w:t xml:space="preserve"> ולהציג מחדש את הדוכ"ס המתוקנים (</w:t>
      </w:r>
      <w:r>
        <w:rPr>
          <w:rFonts w:ascii="David" w:hAnsi="David" w:cs="David" w:hint="cs"/>
          <w:sz w:val="24"/>
          <w:szCs w:val="24"/>
        </w:rPr>
        <w:t>IAS8</w:t>
      </w:r>
      <w:r>
        <w:rPr>
          <w:rFonts w:ascii="David" w:hAnsi="David" w:cs="David" w:hint="cs"/>
          <w:sz w:val="24"/>
          <w:szCs w:val="24"/>
          <w:rtl/>
        </w:rPr>
        <w:t xml:space="preserve"> תורגם בישראל לתקן חשבונאות 35 של המוסד הישראלי לתקינה חשבונאית 09/13) .</w:t>
      </w:r>
    </w:p>
    <w:p w:rsidR="0092408A" w:rsidRDefault="0092408A" w:rsidP="0092408A">
      <w:pPr>
        <w:spacing w:after="120" w:line="360" w:lineRule="auto"/>
        <w:ind w:left="360"/>
        <w:jc w:val="both"/>
        <w:rPr>
          <w:rFonts w:ascii="David" w:hAnsi="David" w:cs="David"/>
          <w:sz w:val="24"/>
          <w:szCs w:val="24"/>
          <w:rtl/>
        </w:rPr>
      </w:pPr>
      <w:r>
        <w:rPr>
          <w:rFonts w:ascii="David" w:hAnsi="David" w:cs="David" w:hint="cs"/>
          <w:sz w:val="24"/>
          <w:szCs w:val="24"/>
          <w:rtl/>
        </w:rPr>
        <w:t xml:space="preserve">בנוסף, על החברה לפרסם דו"ח מידי לבורסה בצירוף הדוכ"ס המתוקנים . </w:t>
      </w:r>
    </w:p>
    <w:p w:rsidR="0092408A" w:rsidRDefault="0092408A" w:rsidP="0092408A">
      <w:pPr>
        <w:spacing w:after="120" w:line="360" w:lineRule="auto"/>
        <w:ind w:left="360"/>
        <w:jc w:val="both"/>
        <w:rPr>
          <w:rFonts w:ascii="David" w:hAnsi="David" w:cs="David" w:hint="cs"/>
          <w:sz w:val="24"/>
          <w:szCs w:val="24"/>
          <w:rtl/>
        </w:rPr>
      </w:pPr>
      <w:r w:rsidRPr="0092408A">
        <w:rPr>
          <w:rFonts w:ascii="David" w:hAnsi="David" w:cs="David" w:hint="cs"/>
          <w:b/>
          <w:bCs/>
          <w:sz w:val="24"/>
          <w:szCs w:val="24"/>
          <w:rtl/>
        </w:rPr>
        <w:t>הרשות לני"ע קובעת חריג</w:t>
      </w:r>
      <w:r>
        <w:rPr>
          <w:rFonts w:ascii="David" w:hAnsi="David" w:cs="David" w:hint="cs"/>
          <w:b/>
          <w:bCs/>
          <w:sz w:val="24"/>
          <w:szCs w:val="24"/>
          <w:rtl/>
        </w:rPr>
        <w:t xml:space="preserve"> לפיו:</w:t>
      </w:r>
      <w:r w:rsidRPr="0092408A">
        <w:rPr>
          <w:rFonts w:ascii="David" w:hAnsi="David" w:cs="David" w:hint="cs"/>
          <w:sz w:val="24"/>
          <w:szCs w:val="24"/>
          <w:rtl/>
        </w:rPr>
        <w:t xml:space="preserve"> אם התגלתה טעות מהותית</w:t>
      </w:r>
      <w:r>
        <w:rPr>
          <w:rFonts w:ascii="David" w:hAnsi="David" w:cs="David" w:hint="cs"/>
          <w:sz w:val="24"/>
          <w:szCs w:val="24"/>
          <w:rtl/>
        </w:rPr>
        <w:t xml:space="preserve"> והמועד בו קמה חובת הדיווח הבאה הוא עד 10 ימי עסקים רשאית החברה לא לתקן את הדוכ"ס השגויים אלא להסתפק בתיקון מספרי ההשוואה בלבד בדרך של הצגה מחדש וללא דיווח מיידי. </w:t>
      </w:r>
    </w:p>
    <w:p w:rsidR="0092408A" w:rsidRPr="007C3052" w:rsidRDefault="007C3052" w:rsidP="007937A2">
      <w:pPr>
        <w:pStyle w:val="a7"/>
        <w:numPr>
          <w:ilvl w:val="0"/>
          <w:numId w:val="3"/>
        </w:numPr>
        <w:spacing w:after="120" w:line="360" w:lineRule="auto"/>
        <w:jc w:val="both"/>
        <w:rPr>
          <w:rFonts w:ascii="David" w:hAnsi="David" w:cs="David"/>
          <w:b/>
          <w:bCs/>
          <w:sz w:val="24"/>
          <w:szCs w:val="24"/>
          <w:rtl/>
        </w:rPr>
      </w:pPr>
      <w:r w:rsidRPr="007C3052">
        <w:rPr>
          <w:rFonts w:ascii="David" w:hAnsi="David" w:cs="David" w:hint="cs"/>
          <w:b/>
          <w:bCs/>
          <w:sz w:val="24"/>
          <w:szCs w:val="24"/>
          <w:rtl/>
        </w:rPr>
        <w:t xml:space="preserve">לשכת רו"ח פנתה לרשות לני"ע בבקשה להאריך את פרק הזמן של תיקון מספרי השוואה בלבד ללא הצגה מחדש של כל הדוכ"ס לתקופה הקודמת ל-30 יום , חודש . המשקפים תמונה ריאלית של תקופת ביקורת אך הרשות טרם נענתה . </w:t>
      </w:r>
    </w:p>
    <w:p w:rsidR="007C3052" w:rsidRDefault="007C3052" w:rsidP="007937A2">
      <w:pPr>
        <w:pStyle w:val="a7"/>
        <w:numPr>
          <w:ilvl w:val="0"/>
          <w:numId w:val="3"/>
        </w:numPr>
        <w:spacing w:after="120" w:line="360" w:lineRule="auto"/>
        <w:jc w:val="both"/>
        <w:rPr>
          <w:rFonts w:ascii="David" w:hAnsi="David" w:cs="David"/>
          <w:sz w:val="24"/>
          <w:szCs w:val="24"/>
        </w:rPr>
      </w:pPr>
      <w:r>
        <w:rPr>
          <w:rFonts w:ascii="David" w:hAnsi="David" w:cs="David" w:hint="cs"/>
          <w:sz w:val="24"/>
          <w:szCs w:val="24"/>
          <w:rtl/>
        </w:rPr>
        <w:t>היבט הביקורת לגבי תיקון טעות של דוכ"ס שכבר פורסמו (כלומר, נעשו זמינים לצדדים שלישיים). ת"ב 100 קובע 2 אפשרויות :</w:t>
      </w:r>
    </w:p>
    <w:p w:rsidR="007C3052" w:rsidRDefault="007C3052" w:rsidP="007937A2">
      <w:pPr>
        <w:pStyle w:val="a7"/>
        <w:numPr>
          <w:ilvl w:val="0"/>
          <w:numId w:val="10"/>
        </w:numPr>
        <w:spacing w:after="120" w:line="360" w:lineRule="auto"/>
        <w:jc w:val="both"/>
        <w:rPr>
          <w:rFonts w:ascii="David" w:hAnsi="David" w:cs="David"/>
          <w:sz w:val="24"/>
          <w:szCs w:val="24"/>
        </w:rPr>
      </w:pPr>
      <w:r>
        <w:rPr>
          <w:rFonts w:ascii="David" w:hAnsi="David" w:cs="David" w:hint="cs"/>
          <w:sz w:val="24"/>
          <w:szCs w:val="24"/>
          <w:rtl/>
        </w:rPr>
        <w:t xml:space="preserve">אם בוצעה הצגה מחדש של הדוכ"ס לשנת 2013 שכבר ניתנה עליהם חוו"ד הרי שבהתאם לת"ב 100 לאחר שנמצאה ההצדקה לתיקון הדוכ"ס ואלה תוקנו להנחת דעתו של רו"ח המבקר תינתן חוו"ד חדשה הכוללת </w:t>
      </w:r>
      <w:r w:rsidRPr="007C3052">
        <w:rPr>
          <w:rFonts w:ascii="David" w:hAnsi="David" w:cs="David" w:hint="cs"/>
          <w:b/>
          <w:bCs/>
          <w:sz w:val="24"/>
          <w:szCs w:val="24"/>
          <w:rtl/>
        </w:rPr>
        <w:t>פסקה נוספת</w:t>
      </w:r>
      <w:r>
        <w:rPr>
          <w:rFonts w:ascii="David" w:hAnsi="David" w:cs="David" w:hint="cs"/>
          <w:sz w:val="24"/>
          <w:szCs w:val="24"/>
          <w:rtl/>
        </w:rPr>
        <w:t xml:space="preserve"> לאחר פסקת חוו"ד (לא מדובר בהפניית תשומת לב) </w:t>
      </w:r>
    </w:p>
    <w:p w:rsidR="007C3052" w:rsidRDefault="007C3052" w:rsidP="007937A2">
      <w:pPr>
        <w:pStyle w:val="a7"/>
        <w:numPr>
          <w:ilvl w:val="0"/>
          <w:numId w:val="10"/>
        </w:numPr>
        <w:spacing w:after="120" w:line="360" w:lineRule="auto"/>
        <w:jc w:val="both"/>
        <w:rPr>
          <w:rFonts w:ascii="David" w:hAnsi="David" w:cs="David"/>
          <w:sz w:val="24"/>
          <w:szCs w:val="24"/>
        </w:rPr>
      </w:pPr>
      <w:r>
        <w:rPr>
          <w:rFonts w:ascii="David" w:hAnsi="David" w:cs="David" w:hint="cs"/>
          <w:sz w:val="24"/>
          <w:szCs w:val="24"/>
          <w:rtl/>
        </w:rPr>
        <w:t xml:space="preserve">כאשר הטעות התגלתה ב-10 הימים האחרונים והחברה מציגה מחדש רק את מספרי ההשוואה של השנה הרלוונטית, הרי שאם ההצגה מחדש נאותה וניתן הגילוי הנאות רו"ח המבקר חייב להפנות את תשומת הלב (ס' 14 ת"ב 72) אם לא  סטיה מהנוסח האחיד. </w:t>
      </w:r>
    </w:p>
    <w:p w:rsidR="007C3052" w:rsidRDefault="007C3052" w:rsidP="007937A2">
      <w:pPr>
        <w:pStyle w:val="a7"/>
        <w:numPr>
          <w:ilvl w:val="0"/>
          <w:numId w:val="3"/>
        </w:numPr>
        <w:spacing w:after="120" w:line="360" w:lineRule="auto"/>
        <w:jc w:val="both"/>
        <w:rPr>
          <w:rFonts w:ascii="David" w:hAnsi="David" w:cs="David"/>
          <w:sz w:val="24"/>
          <w:szCs w:val="24"/>
        </w:rPr>
      </w:pPr>
      <w:r>
        <w:rPr>
          <w:rFonts w:ascii="David" w:hAnsi="David" w:cs="David" w:hint="cs"/>
          <w:sz w:val="24"/>
          <w:szCs w:val="24"/>
          <w:rtl/>
        </w:rPr>
        <w:t>הנחיות הרשות לני"ע ככלל חלות על חברות מדווחות לרבות על חברות בנות וכלולות גם אם הן פרטיות.</w:t>
      </w:r>
    </w:p>
    <w:p w:rsidR="007C3052" w:rsidRDefault="007C3052" w:rsidP="00B21175">
      <w:pPr>
        <w:spacing w:after="120" w:line="360" w:lineRule="auto"/>
        <w:jc w:val="both"/>
        <w:rPr>
          <w:rFonts w:ascii="David" w:hAnsi="David" w:cs="David"/>
          <w:sz w:val="24"/>
          <w:szCs w:val="24"/>
          <w:rtl/>
        </w:rPr>
      </w:pPr>
      <w:r>
        <w:rPr>
          <w:rFonts w:ascii="David" w:hAnsi="David" w:cs="David" w:hint="cs"/>
          <w:sz w:val="24"/>
          <w:szCs w:val="24"/>
          <w:rtl/>
        </w:rPr>
        <w:t xml:space="preserve">כמובן עפ"י שיקול דעת של כל דירקטוריון והנהלה וכל רו"ח מבקר ניתן לשקול דוגמאות/ קריטריונים מתוך עמדת הרשות, גם לגבי ח"פ או ישויות שאינן מדווחות . </w:t>
      </w:r>
      <w:r w:rsidRPr="007C3052">
        <w:rPr>
          <w:rFonts w:ascii="David" w:hAnsi="David" w:cs="David" w:hint="cs"/>
          <w:sz w:val="24"/>
          <w:szCs w:val="24"/>
          <w:rtl/>
        </w:rPr>
        <w:t xml:space="preserve"> </w:t>
      </w:r>
    </w:p>
    <w:p w:rsidR="00B21175" w:rsidRDefault="00B21175" w:rsidP="00B21175">
      <w:pPr>
        <w:spacing w:after="120" w:line="360" w:lineRule="auto"/>
        <w:jc w:val="both"/>
        <w:rPr>
          <w:rFonts w:ascii="David" w:hAnsi="David" w:cs="David"/>
          <w:b/>
          <w:bCs/>
          <w:sz w:val="24"/>
          <w:szCs w:val="24"/>
          <w:u w:val="single"/>
          <w:rtl/>
        </w:rPr>
      </w:pPr>
    </w:p>
    <w:p w:rsidR="00B21175" w:rsidRDefault="00B21175" w:rsidP="00B21175">
      <w:pPr>
        <w:spacing w:after="120" w:line="360" w:lineRule="auto"/>
        <w:jc w:val="both"/>
        <w:rPr>
          <w:rFonts w:ascii="David" w:hAnsi="David" w:cs="David"/>
          <w:b/>
          <w:bCs/>
          <w:sz w:val="24"/>
          <w:szCs w:val="24"/>
          <w:u w:val="single"/>
          <w:rtl/>
        </w:rPr>
      </w:pPr>
    </w:p>
    <w:p w:rsidR="00B21175" w:rsidRDefault="00B21175" w:rsidP="00B21175">
      <w:pPr>
        <w:spacing w:after="120" w:line="360" w:lineRule="auto"/>
        <w:jc w:val="both"/>
        <w:rPr>
          <w:rFonts w:ascii="David" w:hAnsi="David" w:cs="David"/>
          <w:b/>
          <w:bCs/>
          <w:sz w:val="24"/>
          <w:szCs w:val="24"/>
          <w:u w:val="single"/>
          <w:rtl/>
        </w:rPr>
      </w:pPr>
    </w:p>
    <w:p w:rsidR="00B21175" w:rsidRDefault="00B21175" w:rsidP="00B21175">
      <w:pPr>
        <w:spacing w:after="120" w:line="360" w:lineRule="auto"/>
        <w:jc w:val="both"/>
        <w:rPr>
          <w:rFonts w:ascii="David" w:hAnsi="David" w:cs="David"/>
          <w:b/>
          <w:bCs/>
          <w:sz w:val="24"/>
          <w:szCs w:val="24"/>
          <w:u w:val="single"/>
          <w:rtl/>
        </w:rPr>
      </w:pPr>
    </w:p>
    <w:p w:rsidR="007C3052" w:rsidRDefault="00BF5A24" w:rsidP="00B21175">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lastRenderedPageBreak/>
        <w:t>היבט הביקורת</w:t>
      </w:r>
    </w:p>
    <w:p w:rsidR="00BF5A24" w:rsidRDefault="00BF5A24" w:rsidP="00B21175">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ת"ב 86 בדב מהותיות בביקורת</w:t>
      </w:r>
    </w:p>
    <w:p w:rsidR="00BF5A24" w:rsidRDefault="00BF5A24" w:rsidP="00B21175">
      <w:pPr>
        <w:spacing w:after="120" w:line="360" w:lineRule="auto"/>
        <w:jc w:val="both"/>
        <w:rPr>
          <w:rFonts w:ascii="David" w:hAnsi="David" w:cs="David"/>
          <w:sz w:val="24"/>
          <w:szCs w:val="24"/>
          <w:rtl/>
        </w:rPr>
      </w:pPr>
      <w:r>
        <w:rPr>
          <w:rFonts w:ascii="David" w:hAnsi="David" w:cs="David" w:hint="cs"/>
          <w:sz w:val="24"/>
          <w:szCs w:val="24"/>
          <w:rtl/>
        </w:rPr>
        <w:t xml:space="preserve">ראשית נזכור שת"ב לעולם לא קובע כלל חשבונאי . </w:t>
      </w:r>
      <w:r w:rsidR="00B0014A">
        <w:rPr>
          <w:rFonts w:ascii="David" w:hAnsi="David" w:cs="David" w:hint="cs"/>
          <w:sz w:val="24"/>
          <w:szCs w:val="24"/>
          <w:rtl/>
        </w:rPr>
        <w:t>ולכן ס' 3 שכולל הגדרת מהותיות מעתיק את ההגדרה מ-</w:t>
      </w:r>
      <w:r w:rsidR="00B0014A">
        <w:rPr>
          <w:rFonts w:ascii="David" w:hAnsi="David" w:cs="David" w:hint="cs"/>
          <w:sz w:val="24"/>
          <w:szCs w:val="24"/>
        </w:rPr>
        <w:t>IAS1</w:t>
      </w:r>
      <w:r w:rsidR="00B0014A">
        <w:rPr>
          <w:rFonts w:ascii="David" w:hAnsi="David" w:cs="David" w:hint="cs"/>
          <w:sz w:val="24"/>
          <w:szCs w:val="24"/>
          <w:rtl/>
        </w:rPr>
        <w:t xml:space="preserve"> ו-</w:t>
      </w:r>
      <w:r w:rsidR="00B0014A">
        <w:rPr>
          <w:rFonts w:ascii="David" w:hAnsi="David" w:cs="David" w:hint="cs"/>
          <w:sz w:val="24"/>
          <w:szCs w:val="24"/>
        </w:rPr>
        <w:t>IAS8</w:t>
      </w:r>
    </w:p>
    <w:p w:rsidR="00B0014A" w:rsidRDefault="00B0014A" w:rsidP="00B21175">
      <w:pPr>
        <w:spacing w:after="120" w:line="360" w:lineRule="auto"/>
        <w:jc w:val="both"/>
        <w:rPr>
          <w:rFonts w:ascii="David" w:hAnsi="David" w:cs="David"/>
          <w:sz w:val="24"/>
          <w:szCs w:val="24"/>
          <w:rtl/>
        </w:rPr>
      </w:pPr>
      <w:r>
        <w:rPr>
          <w:rFonts w:ascii="David" w:hAnsi="David" w:cs="David" w:hint="cs"/>
          <w:sz w:val="24"/>
          <w:szCs w:val="24"/>
          <w:u w:val="single"/>
          <w:rtl/>
        </w:rPr>
        <w:t xml:space="preserve">סעיף 4: </w:t>
      </w:r>
      <w:r>
        <w:rPr>
          <w:rFonts w:ascii="David" w:hAnsi="David" w:cs="David" w:hint="cs"/>
          <w:sz w:val="24"/>
          <w:szCs w:val="24"/>
          <w:rtl/>
        </w:rPr>
        <w:t xml:space="preserve">קובע שרו"ח נותן חוו"ד על מכלול הבחינות המהותיות וההערכה לגבי מהו מידע מהותי היא נושא לשיקול דעת מקצועי (הכלל הוא שלא מתייחסים לדבר שאינו מהותי). </w:t>
      </w:r>
    </w:p>
    <w:p w:rsidR="00B0014A" w:rsidRDefault="00B0014A" w:rsidP="00B21175">
      <w:pPr>
        <w:spacing w:after="120" w:line="360" w:lineRule="auto"/>
        <w:jc w:val="both"/>
        <w:rPr>
          <w:rFonts w:ascii="David" w:hAnsi="David" w:cs="David"/>
          <w:sz w:val="24"/>
          <w:szCs w:val="24"/>
          <w:rtl/>
        </w:rPr>
      </w:pPr>
      <w:r>
        <w:rPr>
          <w:rFonts w:ascii="David" w:hAnsi="David" w:cs="David" w:hint="cs"/>
          <w:sz w:val="24"/>
          <w:szCs w:val="24"/>
          <w:u w:val="single"/>
          <w:rtl/>
        </w:rPr>
        <w:t>סעיף 6:</w:t>
      </w:r>
      <w:r>
        <w:rPr>
          <w:rFonts w:ascii="David" w:hAnsi="David" w:cs="David" w:hint="cs"/>
          <w:sz w:val="24"/>
          <w:szCs w:val="24"/>
          <w:rtl/>
        </w:rPr>
        <w:t xml:space="preserve"> קובע שעל המבקר לבחון את האפשרות שקיום הצגה מוטעית בסכומים נמוכים יחסית אשר במצטבר יכולה להיות להם השפעה מהותית על הדוכ"ס . </w:t>
      </w:r>
    </w:p>
    <w:p w:rsidR="00B0014A" w:rsidRDefault="00822A6D" w:rsidP="00B21175">
      <w:pPr>
        <w:spacing w:after="120" w:line="360" w:lineRule="auto"/>
        <w:jc w:val="both"/>
        <w:rPr>
          <w:rFonts w:ascii="David" w:hAnsi="David" w:cs="David"/>
          <w:sz w:val="24"/>
          <w:szCs w:val="24"/>
          <w:rtl/>
        </w:rPr>
      </w:pPr>
      <w:r>
        <w:rPr>
          <w:rFonts w:ascii="David" w:hAnsi="David" w:cs="David" w:hint="cs"/>
          <w:sz w:val="24"/>
          <w:szCs w:val="24"/>
          <w:u w:val="single"/>
          <w:rtl/>
        </w:rPr>
        <w:t xml:space="preserve">סעיף 7: </w:t>
      </w:r>
      <w:r>
        <w:rPr>
          <w:rFonts w:ascii="David" w:hAnsi="David" w:cs="David" w:hint="cs"/>
          <w:sz w:val="24"/>
          <w:szCs w:val="24"/>
          <w:rtl/>
        </w:rPr>
        <w:t xml:space="preserve">מוסיף שהמבקר יבחן מהותיות הן ברמה הכוללת של הדוכ"ס והן בהתייחס ליתרות של חשבונות בודדים, סוגי עסקאות וגילויים בדוכ"ס. </w:t>
      </w:r>
    </w:p>
    <w:p w:rsidR="00822A6D" w:rsidRDefault="00822A6D" w:rsidP="00B21175">
      <w:pPr>
        <w:spacing w:after="120" w:line="360" w:lineRule="auto"/>
        <w:jc w:val="both"/>
        <w:rPr>
          <w:rFonts w:ascii="David" w:hAnsi="David" w:cs="David" w:hint="cs"/>
          <w:sz w:val="24"/>
          <w:szCs w:val="24"/>
          <w:rtl/>
        </w:rPr>
      </w:pPr>
      <w:r>
        <w:rPr>
          <w:rFonts w:ascii="David" w:hAnsi="David" w:cs="David" w:hint="cs"/>
          <w:sz w:val="24"/>
          <w:szCs w:val="24"/>
          <w:u w:val="single"/>
          <w:rtl/>
        </w:rPr>
        <w:t>סעיף 10:</w:t>
      </w:r>
      <w:r>
        <w:rPr>
          <w:rFonts w:ascii="David" w:hAnsi="David" w:cs="David" w:hint="cs"/>
          <w:sz w:val="24"/>
          <w:szCs w:val="24"/>
          <w:rtl/>
        </w:rPr>
        <w:t xml:space="preserve"> מציין שקיים קשר הפוך בין מהותיות לרמת סיכון הביקורת הנדרשת .</w:t>
      </w:r>
    </w:p>
    <w:p w:rsidR="00822A6D" w:rsidRDefault="00822A6D" w:rsidP="00B21175">
      <w:pPr>
        <w:spacing w:after="120" w:line="360" w:lineRule="auto"/>
        <w:jc w:val="both"/>
        <w:rPr>
          <w:rFonts w:ascii="David" w:hAnsi="David" w:cs="David"/>
          <w:sz w:val="24"/>
          <w:szCs w:val="24"/>
          <w:rtl/>
        </w:rPr>
      </w:pPr>
      <w:r>
        <w:rPr>
          <w:rFonts w:ascii="David" w:hAnsi="David" w:cs="David" w:hint="cs"/>
          <w:sz w:val="24"/>
          <w:szCs w:val="24"/>
          <w:u w:val="single"/>
          <w:rtl/>
        </w:rPr>
        <w:t>סעיף 14:</w:t>
      </w:r>
      <w:r>
        <w:rPr>
          <w:rFonts w:ascii="David" w:hAnsi="David" w:cs="David" w:hint="cs"/>
          <w:sz w:val="24"/>
          <w:szCs w:val="24"/>
          <w:rtl/>
        </w:rPr>
        <w:t xml:space="preserve"> בסיכומם של דברים הסעיף קובע שעל המבקר לשקול את כלל ההצגות המוטעות שלא תוקנו, האם הן מהותיות, ואם הוא מגיע למסקנה שההצגות המוטעות עלולות להיות מהותיות עליו לשקול הפחתה של סיכון הביקורת ע"י הרחבת נהלי הביקורת ופניה להנהלה לתקן את הדוכ"ס, או לקבל מהם הבהרות מתאימות. במידה וההנהלה מסרבת לתקן את הדוכ"ס והתוצאות של הרחבת נהלי הביקורת לא מאפשרות למבקר להגיע למסקנה שכלל ההצגות המוטעות הן לא מהותיות, (כן מהותיות) יהיה עליו לשקול סטייה מהנוסח האחיד (ת"ב 72)</w:t>
      </w:r>
    </w:p>
    <w:p w:rsidR="00822A6D" w:rsidRDefault="00822A6D" w:rsidP="00B21175">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 xml:space="preserve">תקן ביקורת 110 </w:t>
      </w:r>
    </w:p>
    <w:p w:rsidR="00822A6D" w:rsidRDefault="00822A6D" w:rsidP="00B21175">
      <w:pPr>
        <w:spacing w:after="120" w:line="360" w:lineRule="auto"/>
        <w:jc w:val="both"/>
        <w:rPr>
          <w:rFonts w:ascii="David" w:hAnsi="David" w:cs="David"/>
          <w:sz w:val="24"/>
          <w:szCs w:val="24"/>
          <w:rtl/>
        </w:rPr>
      </w:pPr>
      <w:r>
        <w:rPr>
          <w:rFonts w:ascii="David" w:hAnsi="David" w:cs="David" w:hint="cs"/>
          <w:sz w:val="24"/>
          <w:szCs w:val="24"/>
          <w:u w:val="single"/>
          <w:rtl/>
        </w:rPr>
        <w:t xml:space="preserve">סעיף 6: </w:t>
      </w:r>
      <w:r>
        <w:rPr>
          <w:rFonts w:ascii="David" w:hAnsi="David" w:cs="David" w:hint="cs"/>
          <w:sz w:val="24"/>
          <w:szCs w:val="24"/>
          <w:rtl/>
        </w:rPr>
        <w:t xml:space="preserve">מזכיר את נושא המהותיות בביקורת וקובע שמהותיות בביקורת היא נושא לשיקול דעת מקצועי. וחוו"ד של רו"ח המבקר מתייחסת לדוכ"ס בכללותם ולכן רו"ח המבקר אינו אחראי לזיהוי הצגות מוטעות שאינן מהותיות לדוכס בכללותם. </w:t>
      </w:r>
    </w:p>
    <w:p w:rsidR="00033240" w:rsidRDefault="00033240" w:rsidP="00B21175">
      <w:pPr>
        <w:spacing w:after="120" w:line="360" w:lineRule="auto"/>
        <w:jc w:val="both"/>
        <w:rPr>
          <w:rFonts w:ascii="David" w:hAnsi="David" w:cs="David" w:hint="cs"/>
          <w:sz w:val="24"/>
          <w:szCs w:val="24"/>
          <w:rtl/>
        </w:rPr>
      </w:pPr>
      <w:r>
        <w:rPr>
          <w:rFonts w:ascii="David" w:hAnsi="David" w:cs="David" w:hint="cs"/>
          <w:sz w:val="24"/>
          <w:szCs w:val="24"/>
          <w:rtl/>
        </w:rPr>
        <w:t xml:space="preserve">רו"ח כשהוא מבצע ביקורת של בחינת המהותיות, הוא רשאי לקבוע סף מהותיות לבדיקה, הנמוך מהסף הכמותי החשבונאי אך לעולם לא גבוה ממנו. </w:t>
      </w:r>
    </w:p>
    <w:p w:rsidR="00B21175" w:rsidRDefault="00033240" w:rsidP="00B21175">
      <w:pPr>
        <w:spacing w:after="120" w:line="360" w:lineRule="auto"/>
        <w:jc w:val="both"/>
        <w:rPr>
          <w:rFonts w:ascii="David" w:hAnsi="David" w:cs="David"/>
          <w:sz w:val="24"/>
          <w:szCs w:val="24"/>
          <w:rtl/>
        </w:rPr>
      </w:pPr>
      <w:r>
        <w:rPr>
          <w:rFonts w:ascii="David" w:hAnsi="David" w:cs="David" w:hint="cs"/>
          <w:sz w:val="24"/>
          <w:szCs w:val="24"/>
          <w:rtl/>
        </w:rPr>
        <w:t>יחד עם זאת יש לזכור שבחינת המהותיות היא גם איכותית ולא רק כמותית ולכן לא ניתן לקבוע רק סף כמותי לבדיקת מהותיות. בנוסף , רו"ח המבקר צריך להיזהר מכשל ולפיו הצגה מוטעית של מספר פריטים שכ"א מהם בנפרד אינו מהותי אבל הם מסתכמים יחד למהותיים דבר שמצביע על הצורך בתיקון הדוכ"ס.</w:t>
      </w:r>
      <w:r w:rsidR="00B21175">
        <w:rPr>
          <w:rFonts w:ascii="David" w:hAnsi="David" w:cs="David" w:hint="cs"/>
          <w:sz w:val="24"/>
          <w:szCs w:val="24"/>
          <w:rtl/>
        </w:rPr>
        <w:t xml:space="preserve"> </w:t>
      </w:r>
    </w:p>
    <w:p w:rsidR="00B21175" w:rsidRDefault="00B21175" w:rsidP="00B21175">
      <w:pPr>
        <w:spacing w:after="120" w:line="360" w:lineRule="auto"/>
        <w:jc w:val="both"/>
        <w:rPr>
          <w:rFonts w:ascii="David" w:hAnsi="David" w:cs="David"/>
          <w:b/>
          <w:bCs/>
          <w:sz w:val="24"/>
          <w:szCs w:val="24"/>
          <w:rtl/>
        </w:rPr>
      </w:pPr>
      <w:r>
        <w:rPr>
          <w:rFonts w:ascii="David" w:hAnsi="David" w:cs="David" w:hint="cs"/>
          <w:b/>
          <w:bCs/>
          <w:sz w:val="24"/>
          <w:szCs w:val="24"/>
          <w:rtl/>
        </w:rPr>
        <w:t>לא קיים שוני בבחינת היבט המהותיות בין ביקורת ח"פ לביקורת ח"צ למעט יחס של סף מהותיות 5% בחברה מדווחת בהשוואה ל-10% בחברה שאינה מדווחת .</w:t>
      </w:r>
    </w:p>
    <w:p w:rsidR="00B21175" w:rsidRDefault="00B21175" w:rsidP="00B21175">
      <w:pPr>
        <w:spacing w:after="120" w:line="360" w:lineRule="auto"/>
        <w:jc w:val="both"/>
        <w:rPr>
          <w:rFonts w:ascii="David" w:hAnsi="David" w:cs="David" w:hint="cs"/>
          <w:b/>
          <w:bCs/>
          <w:color w:val="538135" w:themeColor="accent6" w:themeShade="BF"/>
          <w:sz w:val="24"/>
          <w:szCs w:val="24"/>
          <w:rtl/>
        </w:rPr>
      </w:pPr>
      <w:r>
        <w:rPr>
          <w:rFonts w:ascii="David" w:hAnsi="David" w:cs="David" w:hint="cs"/>
          <w:b/>
          <w:bCs/>
          <w:color w:val="538135" w:themeColor="accent6" w:themeShade="BF"/>
          <w:sz w:val="24"/>
          <w:szCs w:val="24"/>
          <w:rtl/>
        </w:rPr>
        <w:t xml:space="preserve">שאלת מועצה קיץ 2014 10 נקודות </w:t>
      </w:r>
    </w:p>
    <w:p w:rsidR="00822A6D" w:rsidRPr="00822A6D" w:rsidRDefault="00B21175" w:rsidP="00B21175">
      <w:pPr>
        <w:spacing w:after="120" w:line="360" w:lineRule="auto"/>
        <w:jc w:val="both"/>
        <w:rPr>
          <w:rFonts w:ascii="David" w:hAnsi="David" w:cs="David"/>
          <w:sz w:val="24"/>
          <w:szCs w:val="24"/>
          <w:rtl/>
        </w:rPr>
      </w:pPr>
      <w:r>
        <w:rPr>
          <w:rFonts w:ascii="David" w:hAnsi="David" w:cs="David" w:hint="cs"/>
          <w:b/>
          <w:bCs/>
          <w:color w:val="538135" w:themeColor="accent6" w:themeShade="BF"/>
          <w:sz w:val="24"/>
          <w:szCs w:val="24"/>
          <w:rtl/>
        </w:rPr>
        <w:t xml:space="preserve">שאלת מועצה חורף 2008 דוברים </w:t>
      </w:r>
      <w:bookmarkStart w:id="0" w:name="_GoBack"/>
      <w:bookmarkEnd w:id="0"/>
      <w:r>
        <w:rPr>
          <w:rFonts w:ascii="David" w:hAnsi="David" w:cs="David" w:hint="cs"/>
          <w:b/>
          <w:bCs/>
          <w:sz w:val="24"/>
          <w:szCs w:val="24"/>
          <w:rtl/>
        </w:rPr>
        <w:t xml:space="preserve"> </w:t>
      </w:r>
      <w:r w:rsidR="00822A6D">
        <w:rPr>
          <w:rFonts w:ascii="David" w:hAnsi="David" w:cs="David" w:hint="cs"/>
          <w:sz w:val="24"/>
          <w:szCs w:val="24"/>
          <w:rtl/>
        </w:rPr>
        <w:t xml:space="preserve">  </w:t>
      </w:r>
    </w:p>
    <w:p w:rsidR="00A84ADA" w:rsidRPr="007F42A3" w:rsidRDefault="00A84ADA" w:rsidP="005B59A8">
      <w:pPr>
        <w:spacing w:after="120" w:line="360" w:lineRule="auto"/>
        <w:rPr>
          <w:rFonts w:ascii="David" w:hAnsi="David" w:cs="David" w:hint="cs"/>
          <w:sz w:val="24"/>
          <w:szCs w:val="24"/>
          <w:rtl/>
        </w:rPr>
      </w:pPr>
    </w:p>
    <w:p w:rsidR="001F4061" w:rsidRPr="001F4061" w:rsidRDefault="001F4061" w:rsidP="005B59A8">
      <w:pPr>
        <w:spacing w:after="120" w:line="360" w:lineRule="auto"/>
        <w:jc w:val="both"/>
        <w:rPr>
          <w:rFonts w:ascii="David" w:hAnsi="David" w:cs="David"/>
          <w:b/>
          <w:bCs/>
          <w:sz w:val="24"/>
          <w:szCs w:val="24"/>
          <w:rtl/>
        </w:rPr>
      </w:pPr>
    </w:p>
    <w:p w:rsidR="009B06E2" w:rsidRPr="009B06E2" w:rsidRDefault="009B06E2" w:rsidP="005B59A8">
      <w:pPr>
        <w:spacing w:after="120" w:line="360" w:lineRule="auto"/>
        <w:jc w:val="both"/>
        <w:rPr>
          <w:rFonts w:ascii="David" w:hAnsi="David" w:cs="David" w:hint="cs"/>
          <w:sz w:val="24"/>
          <w:szCs w:val="24"/>
          <w:rtl/>
        </w:rPr>
      </w:pPr>
    </w:p>
    <w:sectPr w:rsidR="009B06E2" w:rsidRPr="009B06E2" w:rsidSect="0073008A">
      <w:headerReference w:type="default" r:id="rId8"/>
      <w:footerReference w:type="default" r:id="rId9"/>
      <w:pgSz w:w="11906" w:h="16838"/>
      <w:pgMar w:top="1440" w:right="1800" w:bottom="1440" w:left="1800" w:header="709" w:footer="709" w:gutter="0"/>
      <w:pgNumType w:start="3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A2" w:rsidRDefault="007937A2" w:rsidP="00F172F9">
      <w:pPr>
        <w:spacing w:after="0" w:line="240" w:lineRule="auto"/>
      </w:pPr>
      <w:r>
        <w:separator/>
      </w:r>
    </w:p>
  </w:endnote>
  <w:endnote w:type="continuationSeparator" w:id="0">
    <w:p w:rsidR="007937A2" w:rsidRDefault="007937A2"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5839705"/>
      <w:docPartObj>
        <w:docPartGallery w:val="Page Numbers (Bottom of Page)"/>
        <w:docPartUnique/>
      </w:docPartObj>
    </w:sdtPr>
    <w:sdtContent>
      <w:p w:rsidR="007C3052" w:rsidRDefault="007C3052">
        <w:pPr>
          <w:pStyle w:val="a5"/>
          <w:jc w:val="center"/>
          <w:rPr>
            <w:rtl/>
            <w:cs/>
          </w:rPr>
        </w:pPr>
        <w:r>
          <w:fldChar w:fldCharType="begin"/>
        </w:r>
        <w:r>
          <w:rPr>
            <w:rtl/>
            <w:cs/>
          </w:rPr>
          <w:instrText>PAGE   \* MERGEFORMAT</w:instrText>
        </w:r>
        <w:r>
          <w:fldChar w:fldCharType="separate"/>
        </w:r>
        <w:r w:rsidR="00B21175" w:rsidRPr="00B21175">
          <w:rPr>
            <w:noProof/>
            <w:rtl/>
            <w:lang w:val="he-IL"/>
          </w:rPr>
          <w:t>45</w:t>
        </w:r>
        <w:r>
          <w:fldChar w:fldCharType="end"/>
        </w:r>
      </w:p>
    </w:sdtContent>
  </w:sdt>
  <w:p w:rsidR="007C3052" w:rsidRDefault="007C30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A2" w:rsidRDefault="007937A2" w:rsidP="00F172F9">
      <w:pPr>
        <w:spacing w:after="0" w:line="240" w:lineRule="auto"/>
      </w:pPr>
      <w:r>
        <w:separator/>
      </w:r>
    </w:p>
  </w:footnote>
  <w:footnote w:type="continuationSeparator" w:id="0">
    <w:p w:rsidR="007937A2" w:rsidRDefault="007937A2"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52" w:rsidRPr="00E23F29" w:rsidRDefault="007C3052" w:rsidP="00CB323C">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14/12/14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B02"/>
    <w:multiLevelType w:val="hybridMultilevel"/>
    <w:tmpl w:val="DE8A0AFA"/>
    <w:lvl w:ilvl="0" w:tplc="C9F41FA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D3CDD"/>
    <w:multiLevelType w:val="hybridMultilevel"/>
    <w:tmpl w:val="7D3CF8E8"/>
    <w:lvl w:ilvl="0" w:tplc="173C9BCC">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A7900"/>
    <w:multiLevelType w:val="hybridMultilevel"/>
    <w:tmpl w:val="13FC293E"/>
    <w:lvl w:ilvl="0" w:tplc="AB823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B2DBC"/>
    <w:multiLevelType w:val="hybridMultilevel"/>
    <w:tmpl w:val="6F8269D0"/>
    <w:lvl w:ilvl="0" w:tplc="9C7255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7169F"/>
    <w:multiLevelType w:val="hybridMultilevel"/>
    <w:tmpl w:val="769E2DCA"/>
    <w:lvl w:ilvl="0" w:tplc="F222C61E">
      <w:start w:val="10"/>
      <w:numFmt w:val="bullet"/>
      <w:lvlText w:val=""/>
      <w:lvlJc w:val="left"/>
      <w:pPr>
        <w:ind w:left="720" w:hanging="360"/>
      </w:pPr>
      <w:rPr>
        <w:rFonts w:ascii="Symbol" w:eastAsiaTheme="minorHAnsi" w:hAnsi="Symbol"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D7411"/>
    <w:multiLevelType w:val="hybridMultilevel"/>
    <w:tmpl w:val="21AC4254"/>
    <w:lvl w:ilvl="0" w:tplc="F68CF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362BE"/>
    <w:multiLevelType w:val="hybridMultilevel"/>
    <w:tmpl w:val="D696BABA"/>
    <w:lvl w:ilvl="0" w:tplc="0156B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D046AD"/>
    <w:multiLevelType w:val="hybridMultilevel"/>
    <w:tmpl w:val="A9FCDD9C"/>
    <w:lvl w:ilvl="0" w:tplc="C5142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F595C"/>
    <w:multiLevelType w:val="hybridMultilevel"/>
    <w:tmpl w:val="F790DE92"/>
    <w:lvl w:ilvl="0" w:tplc="4A32ED10">
      <w:start w:val="1"/>
      <w:numFmt w:val="decimal"/>
      <w:lvlText w:val="%1."/>
      <w:lvlJc w:val="left"/>
      <w:pPr>
        <w:ind w:left="720" w:hanging="360"/>
      </w:pPr>
      <w:rPr>
        <w:rFont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73C6E"/>
    <w:multiLevelType w:val="hybridMultilevel"/>
    <w:tmpl w:val="08D4182C"/>
    <w:lvl w:ilvl="0" w:tplc="267012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9"/>
  </w:num>
  <w:num w:numId="6">
    <w:abstractNumId w:val="4"/>
  </w:num>
  <w:num w:numId="7">
    <w:abstractNumId w:val="1"/>
  </w:num>
  <w:num w:numId="8">
    <w:abstractNumId w:val="5"/>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118"/>
    <w:rsid w:val="00004320"/>
    <w:rsid w:val="00005C1A"/>
    <w:rsid w:val="00016E3D"/>
    <w:rsid w:val="0001703A"/>
    <w:rsid w:val="0001759B"/>
    <w:rsid w:val="000209F9"/>
    <w:rsid w:val="0002110F"/>
    <w:rsid w:val="000225B3"/>
    <w:rsid w:val="000272A4"/>
    <w:rsid w:val="00031967"/>
    <w:rsid w:val="00031F9A"/>
    <w:rsid w:val="000327A7"/>
    <w:rsid w:val="00033240"/>
    <w:rsid w:val="0003559A"/>
    <w:rsid w:val="000363BD"/>
    <w:rsid w:val="0004273E"/>
    <w:rsid w:val="0004387F"/>
    <w:rsid w:val="000440FC"/>
    <w:rsid w:val="00050C03"/>
    <w:rsid w:val="00053367"/>
    <w:rsid w:val="000575B5"/>
    <w:rsid w:val="00057726"/>
    <w:rsid w:val="00061ECA"/>
    <w:rsid w:val="00065B31"/>
    <w:rsid w:val="0006680A"/>
    <w:rsid w:val="000711EB"/>
    <w:rsid w:val="0008007B"/>
    <w:rsid w:val="000814D8"/>
    <w:rsid w:val="00084500"/>
    <w:rsid w:val="00084711"/>
    <w:rsid w:val="00085F48"/>
    <w:rsid w:val="000873BF"/>
    <w:rsid w:val="00087407"/>
    <w:rsid w:val="000945A1"/>
    <w:rsid w:val="00094D10"/>
    <w:rsid w:val="000959D1"/>
    <w:rsid w:val="000977C3"/>
    <w:rsid w:val="00097936"/>
    <w:rsid w:val="000A25BC"/>
    <w:rsid w:val="000A46FC"/>
    <w:rsid w:val="000A63A1"/>
    <w:rsid w:val="000A770A"/>
    <w:rsid w:val="000B2B86"/>
    <w:rsid w:val="000B3005"/>
    <w:rsid w:val="000B514B"/>
    <w:rsid w:val="000B7066"/>
    <w:rsid w:val="000C04AC"/>
    <w:rsid w:val="000D0B98"/>
    <w:rsid w:val="000D107A"/>
    <w:rsid w:val="000D2AA6"/>
    <w:rsid w:val="000D3802"/>
    <w:rsid w:val="000D3873"/>
    <w:rsid w:val="000D3CF8"/>
    <w:rsid w:val="000D4AA1"/>
    <w:rsid w:val="000D52B5"/>
    <w:rsid w:val="000D5807"/>
    <w:rsid w:val="000D5F52"/>
    <w:rsid w:val="000E0AF4"/>
    <w:rsid w:val="000E2D7F"/>
    <w:rsid w:val="000E426B"/>
    <w:rsid w:val="000E6DA5"/>
    <w:rsid w:val="000E6E51"/>
    <w:rsid w:val="000F02B2"/>
    <w:rsid w:val="000F5666"/>
    <w:rsid w:val="000F5E3D"/>
    <w:rsid w:val="000F61AF"/>
    <w:rsid w:val="000F6613"/>
    <w:rsid w:val="001040B2"/>
    <w:rsid w:val="00105D60"/>
    <w:rsid w:val="00107C72"/>
    <w:rsid w:val="00110107"/>
    <w:rsid w:val="00110853"/>
    <w:rsid w:val="001137CC"/>
    <w:rsid w:val="0011431E"/>
    <w:rsid w:val="00114504"/>
    <w:rsid w:val="00115DB8"/>
    <w:rsid w:val="00116E42"/>
    <w:rsid w:val="00121874"/>
    <w:rsid w:val="00135C71"/>
    <w:rsid w:val="00135FFF"/>
    <w:rsid w:val="001363D0"/>
    <w:rsid w:val="00137958"/>
    <w:rsid w:val="00137FEC"/>
    <w:rsid w:val="001416AE"/>
    <w:rsid w:val="00141C1F"/>
    <w:rsid w:val="001444A8"/>
    <w:rsid w:val="00147C17"/>
    <w:rsid w:val="001508CA"/>
    <w:rsid w:val="001528B5"/>
    <w:rsid w:val="0015329C"/>
    <w:rsid w:val="0015711F"/>
    <w:rsid w:val="00161B0D"/>
    <w:rsid w:val="00166003"/>
    <w:rsid w:val="0016713B"/>
    <w:rsid w:val="00167879"/>
    <w:rsid w:val="001732EE"/>
    <w:rsid w:val="00173BC6"/>
    <w:rsid w:val="00174761"/>
    <w:rsid w:val="00176487"/>
    <w:rsid w:val="00177F4F"/>
    <w:rsid w:val="0018067B"/>
    <w:rsid w:val="00183855"/>
    <w:rsid w:val="0018443E"/>
    <w:rsid w:val="001852FD"/>
    <w:rsid w:val="0018578B"/>
    <w:rsid w:val="00185DEE"/>
    <w:rsid w:val="001860CD"/>
    <w:rsid w:val="00193545"/>
    <w:rsid w:val="00194CB1"/>
    <w:rsid w:val="001A070A"/>
    <w:rsid w:val="001A1421"/>
    <w:rsid w:val="001A3F0D"/>
    <w:rsid w:val="001A5E98"/>
    <w:rsid w:val="001A662B"/>
    <w:rsid w:val="001B3612"/>
    <w:rsid w:val="001C2984"/>
    <w:rsid w:val="001C3AD7"/>
    <w:rsid w:val="001D03CD"/>
    <w:rsid w:val="001D107B"/>
    <w:rsid w:val="001D4E76"/>
    <w:rsid w:val="001D7530"/>
    <w:rsid w:val="001D7D22"/>
    <w:rsid w:val="001E4846"/>
    <w:rsid w:val="001E51C5"/>
    <w:rsid w:val="001E6DAB"/>
    <w:rsid w:val="001F1958"/>
    <w:rsid w:val="001F380B"/>
    <w:rsid w:val="001F4061"/>
    <w:rsid w:val="001F4704"/>
    <w:rsid w:val="001F512A"/>
    <w:rsid w:val="001F5930"/>
    <w:rsid w:val="001F63AD"/>
    <w:rsid w:val="00200A7C"/>
    <w:rsid w:val="00203489"/>
    <w:rsid w:val="002037AA"/>
    <w:rsid w:val="002055EC"/>
    <w:rsid w:val="00207A4C"/>
    <w:rsid w:val="00211663"/>
    <w:rsid w:val="002135F4"/>
    <w:rsid w:val="002141B4"/>
    <w:rsid w:val="00214B39"/>
    <w:rsid w:val="00214B4C"/>
    <w:rsid w:val="002154C4"/>
    <w:rsid w:val="00215709"/>
    <w:rsid w:val="0021577E"/>
    <w:rsid w:val="00217A41"/>
    <w:rsid w:val="00223B71"/>
    <w:rsid w:val="00223FDD"/>
    <w:rsid w:val="002247E6"/>
    <w:rsid w:val="002254D6"/>
    <w:rsid w:val="00225BB1"/>
    <w:rsid w:val="00226E9D"/>
    <w:rsid w:val="0023579A"/>
    <w:rsid w:val="00247C3F"/>
    <w:rsid w:val="00253629"/>
    <w:rsid w:val="00254B85"/>
    <w:rsid w:val="002550BD"/>
    <w:rsid w:val="00255E31"/>
    <w:rsid w:val="00260506"/>
    <w:rsid w:val="00262578"/>
    <w:rsid w:val="00263D90"/>
    <w:rsid w:val="00265560"/>
    <w:rsid w:val="00272036"/>
    <w:rsid w:val="002725F8"/>
    <w:rsid w:val="00275C0E"/>
    <w:rsid w:val="002803FB"/>
    <w:rsid w:val="00280ECD"/>
    <w:rsid w:val="00281494"/>
    <w:rsid w:val="00282326"/>
    <w:rsid w:val="002853DF"/>
    <w:rsid w:val="00285AB4"/>
    <w:rsid w:val="00291E03"/>
    <w:rsid w:val="002952A5"/>
    <w:rsid w:val="002953E9"/>
    <w:rsid w:val="00295B6E"/>
    <w:rsid w:val="00295D0D"/>
    <w:rsid w:val="002A0F33"/>
    <w:rsid w:val="002A0FDB"/>
    <w:rsid w:val="002A392E"/>
    <w:rsid w:val="002A4347"/>
    <w:rsid w:val="002B66C9"/>
    <w:rsid w:val="002D2727"/>
    <w:rsid w:val="002D2CED"/>
    <w:rsid w:val="002D46F9"/>
    <w:rsid w:val="002D66F4"/>
    <w:rsid w:val="002E0463"/>
    <w:rsid w:val="002E0EC1"/>
    <w:rsid w:val="002F063E"/>
    <w:rsid w:val="002F4A76"/>
    <w:rsid w:val="002F54FB"/>
    <w:rsid w:val="002F6681"/>
    <w:rsid w:val="002F7950"/>
    <w:rsid w:val="00300AEB"/>
    <w:rsid w:val="00300D14"/>
    <w:rsid w:val="00300FF6"/>
    <w:rsid w:val="00303A13"/>
    <w:rsid w:val="003044F6"/>
    <w:rsid w:val="00305ADA"/>
    <w:rsid w:val="00305FDE"/>
    <w:rsid w:val="00307469"/>
    <w:rsid w:val="00314416"/>
    <w:rsid w:val="00315B10"/>
    <w:rsid w:val="00316565"/>
    <w:rsid w:val="003202F6"/>
    <w:rsid w:val="00325B00"/>
    <w:rsid w:val="00327436"/>
    <w:rsid w:val="003319C8"/>
    <w:rsid w:val="00333BCC"/>
    <w:rsid w:val="00336435"/>
    <w:rsid w:val="00341B81"/>
    <w:rsid w:val="00342F5F"/>
    <w:rsid w:val="00345AFA"/>
    <w:rsid w:val="00350B8B"/>
    <w:rsid w:val="0035529B"/>
    <w:rsid w:val="00357D7E"/>
    <w:rsid w:val="0036021A"/>
    <w:rsid w:val="0036592B"/>
    <w:rsid w:val="00370064"/>
    <w:rsid w:val="003701A4"/>
    <w:rsid w:val="003716B5"/>
    <w:rsid w:val="00371797"/>
    <w:rsid w:val="003741D3"/>
    <w:rsid w:val="003768DC"/>
    <w:rsid w:val="00377C75"/>
    <w:rsid w:val="00382C7C"/>
    <w:rsid w:val="003915B5"/>
    <w:rsid w:val="00395B92"/>
    <w:rsid w:val="003A2227"/>
    <w:rsid w:val="003A2C78"/>
    <w:rsid w:val="003A4E5D"/>
    <w:rsid w:val="003A63B4"/>
    <w:rsid w:val="003A6F66"/>
    <w:rsid w:val="003A718D"/>
    <w:rsid w:val="003B0F48"/>
    <w:rsid w:val="003B16E1"/>
    <w:rsid w:val="003B2FF2"/>
    <w:rsid w:val="003B62E4"/>
    <w:rsid w:val="003C064C"/>
    <w:rsid w:val="003C79BD"/>
    <w:rsid w:val="003C7FE8"/>
    <w:rsid w:val="003D29DC"/>
    <w:rsid w:val="003D3219"/>
    <w:rsid w:val="003D732C"/>
    <w:rsid w:val="003E1A1C"/>
    <w:rsid w:val="003E2164"/>
    <w:rsid w:val="003E36CF"/>
    <w:rsid w:val="003E4BBC"/>
    <w:rsid w:val="003E63AD"/>
    <w:rsid w:val="003E7BBC"/>
    <w:rsid w:val="003F00CA"/>
    <w:rsid w:val="003F2102"/>
    <w:rsid w:val="003F43BA"/>
    <w:rsid w:val="003F469C"/>
    <w:rsid w:val="00401692"/>
    <w:rsid w:val="004102EB"/>
    <w:rsid w:val="0041337A"/>
    <w:rsid w:val="00413C78"/>
    <w:rsid w:val="00415D40"/>
    <w:rsid w:val="00416CE1"/>
    <w:rsid w:val="004175CF"/>
    <w:rsid w:val="0042010A"/>
    <w:rsid w:val="00420243"/>
    <w:rsid w:val="0042027A"/>
    <w:rsid w:val="00424CDA"/>
    <w:rsid w:val="00424DA0"/>
    <w:rsid w:val="00431510"/>
    <w:rsid w:val="00433A05"/>
    <w:rsid w:val="0043674D"/>
    <w:rsid w:val="00436B58"/>
    <w:rsid w:val="00437909"/>
    <w:rsid w:val="0044092C"/>
    <w:rsid w:val="00441C02"/>
    <w:rsid w:val="00442630"/>
    <w:rsid w:val="00442803"/>
    <w:rsid w:val="0044399C"/>
    <w:rsid w:val="00447CBD"/>
    <w:rsid w:val="00462212"/>
    <w:rsid w:val="00463EA7"/>
    <w:rsid w:val="0046566A"/>
    <w:rsid w:val="00466B2A"/>
    <w:rsid w:val="00466EC7"/>
    <w:rsid w:val="004713EA"/>
    <w:rsid w:val="0047196B"/>
    <w:rsid w:val="00471C40"/>
    <w:rsid w:val="00476469"/>
    <w:rsid w:val="00477285"/>
    <w:rsid w:val="004806C5"/>
    <w:rsid w:val="00493FA9"/>
    <w:rsid w:val="00494529"/>
    <w:rsid w:val="00497FDC"/>
    <w:rsid w:val="004A1D72"/>
    <w:rsid w:val="004A346A"/>
    <w:rsid w:val="004A5B34"/>
    <w:rsid w:val="004B022E"/>
    <w:rsid w:val="004B0A8D"/>
    <w:rsid w:val="004B5A83"/>
    <w:rsid w:val="004B6D28"/>
    <w:rsid w:val="004B76ED"/>
    <w:rsid w:val="004B7889"/>
    <w:rsid w:val="004C11EE"/>
    <w:rsid w:val="004C2504"/>
    <w:rsid w:val="004C777B"/>
    <w:rsid w:val="004C7ED3"/>
    <w:rsid w:val="004D1A4F"/>
    <w:rsid w:val="004D1E9C"/>
    <w:rsid w:val="004D4E54"/>
    <w:rsid w:val="004D518E"/>
    <w:rsid w:val="004D7AF2"/>
    <w:rsid w:val="004E0615"/>
    <w:rsid w:val="004E0C0E"/>
    <w:rsid w:val="004E1233"/>
    <w:rsid w:val="004E3D88"/>
    <w:rsid w:val="004E5A83"/>
    <w:rsid w:val="004E653C"/>
    <w:rsid w:val="004F029A"/>
    <w:rsid w:val="004F09DC"/>
    <w:rsid w:val="004F370E"/>
    <w:rsid w:val="004F69F4"/>
    <w:rsid w:val="004F6DE4"/>
    <w:rsid w:val="00503BF4"/>
    <w:rsid w:val="00504125"/>
    <w:rsid w:val="005053DB"/>
    <w:rsid w:val="00510E91"/>
    <w:rsid w:val="00515B02"/>
    <w:rsid w:val="0051619C"/>
    <w:rsid w:val="00524307"/>
    <w:rsid w:val="0052603B"/>
    <w:rsid w:val="00526E39"/>
    <w:rsid w:val="00530161"/>
    <w:rsid w:val="00533E1E"/>
    <w:rsid w:val="00541903"/>
    <w:rsid w:val="0054782C"/>
    <w:rsid w:val="00552BEB"/>
    <w:rsid w:val="00554E51"/>
    <w:rsid w:val="00557735"/>
    <w:rsid w:val="00562509"/>
    <w:rsid w:val="005628A2"/>
    <w:rsid w:val="00566A13"/>
    <w:rsid w:val="00566A6B"/>
    <w:rsid w:val="005678FF"/>
    <w:rsid w:val="00572488"/>
    <w:rsid w:val="0057286C"/>
    <w:rsid w:val="00574249"/>
    <w:rsid w:val="00577188"/>
    <w:rsid w:val="00580899"/>
    <w:rsid w:val="005826F7"/>
    <w:rsid w:val="00582DA8"/>
    <w:rsid w:val="00583630"/>
    <w:rsid w:val="00584C6E"/>
    <w:rsid w:val="005933A2"/>
    <w:rsid w:val="00596278"/>
    <w:rsid w:val="005A2805"/>
    <w:rsid w:val="005B1FE5"/>
    <w:rsid w:val="005B252C"/>
    <w:rsid w:val="005B577C"/>
    <w:rsid w:val="005B59A8"/>
    <w:rsid w:val="005C1ABC"/>
    <w:rsid w:val="005C4CE4"/>
    <w:rsid w:val="005D259E"/>
    <w:rsid w:val="005E4059"/>
    <w:rsid w:val="005E51C0"/>
    <w:rsid w:val="005E6458"/>
    <w:rsid w:val="005E6B53"/>
    <w:rsid w:val="005E6D53"/>
    <w:rsid w:val="005F0A01"/>
    <w:rsid w:val="005F1F90"/>
    <w:rsid w:val="005F313D"/>
    <w:rsid w:val="005F415D"/>
    <w:rsid w:val="005F4BEC"/>
    <w:rsid w:val="005F66E4"/>
    <w:rsid w:val="005F7FCF"/>
    <w:rsid w:val="00604369"/>
    <w:rsid w:val="00604D40"/>
    <w:rsid w:val="00613AFB"/>
    <w:rsid w:val="006143FA"/>
    <w:rsid w:val="006154DB"/>
    <w:rsid w:val="0061672B"/>
    <w:rsid w:val="00620413"/>
    <w:rsid w:val="006205B4"/>
    <w:rsid w:val="006209A0"/>
    <w:rsid w:val="006211ED"/>
    <w:rsid w:val="00623A0F"/>
    <w:rsid w:val="00625E2D"/>
    <w:rsid w:val="006309A8"/>
    <w:rsid w:val="00630CED"/>
    <w:rsid w:val="0063134F"/>
    <w:rsid w:val="0063219D"/>
    <w:rsid w:val="0063276A"/>
    <w:rsid w:val="00633286"/>
    <w:rsid w:val="0063481C"/>
    <w:rsid w:val="00635942"/>
    <w:rsid w:val="00637B33"/>
    <w:rsid w:val="00637C25"/>
    <w:rsid w:val="006408F6"/>
    <w:rsid w:val="006414F2"/>
    <w:rsid w:val="00645AD5"/>
    <w:rsid w:val="006462A4"/>
    <w:rsid w:val="00647875"/>
    <w:rsid w:val="00650475"/>
    <w:rsid w:val="00651714"/>
    <w:rsid w:val="006541D4"/>
    <w:rsid w:val="00655327"/>
    <w:rsid w:val="0065582D"/>
    <w:rsid w:val="006575E9"/>
    <w:rsid w:val="00657D23"/>
    <w:rsid w:val="00661B5C"/>
    <w:rsid w:val="00662129"/>
    <w:rsid w:val="0066383E"/>
    <w:rsid w:val="00664175"/>
    <w:rsid w:val="00664FBA"/>
    <w:rsid w:val="0066650A"/>
    <w:rsid w:val="006669D6"/>
    <w:rsid w:val="00670758"/>
    <w:rsid w:val="00673740"/>
    <w:rsid w:val="00674F62"/>
    <w:rsid w:val="00681EAC"/>
    <w:rsid w:val="006906C4"/>
    <w:rsid w:val="00692F37"/>
    <w:rsid w:val="00694215"/>
    <w:rsid w:val="006967CE"/>
    <w:rsid w:val="006A05A8"/>
    <w:rsid w:val="006A0681"/>
    <w:rsid w:val="006A0950"/>
    <w:rsid w:val="006A12B0"/>
    <w:rsid w:val="006A1D2A"/>
    <w:rsid w:val="006A1EB0"/>
    <w:rsid w:val="006A3505"/>
    <w:rsid w:val="006A3AE9"/>
    <w:rsid w:val="006A3FF9"/>
    <w:rsid w:val="006A40CD"/>
    <w:rsid w:val="006A45C1"/>
    <w:rsid w:val="006B02B0"/>
    <w:rsid w:val="006B4743"/>
    <w:rsid w:val="006B6C0C"/>
    <w:rsid w:val="006C64D2"/>
    <w:rsid w:val="006C7FC0"/>
    <w:rsid w:val="006D000F"/>
    <w:rsid w:val="006D10AD"/>
    <w:rsid w:val="006D24A4"/>
    <w:rsid w:val="006D2F7B"/>
    <w:rsid w:val="006D4974"/>
    <w:rsid w:val="006D6D3C"/>
    <w:rsid w:val="006E0263"/>
    <w:rsid w:val="006E05F7"/>
    <w:rsid w:val="006E1460"/>
    <w:rsid w:val="006E337C"/>
    <w:rsid w:val="006E62E1"/>
    <w:rsid w:val="006E6C2E"/>
    <w:rsid w:val="006F2E48"/>
    <w:rsid w:val="006F566C"/>
    <w:rsid w:val="006F5E4B"/>
    <w:rsid w:val="00701984"/>
    <w:rsid w:val="00702A1C"/>
    <w:rsid w:val="007031ED"/>
    <w:rsid w:val="00703C4E"/>
    <w:rsid w:val="00705FCC"/>
    <w:rsid w:val="00707309"/>
    <w:rsid w:val="007104EA"/>
    <w:rsid w:val="0071286F"/>
    <w:rsid w:val="007128A3"/>
    <w:rsid w:val="00716E17"/>
    <w:rsid w:val="007179EC"/>
    <w:rsid w:val="00722CDB"/>
    <w:rsid w:val="00725398"/>
    <w:rsid w:val="00725A43"/>
    <w:rsid w:val="00727A8C"/>
    <w:rsid w:val="0073008A"/>
    <w:rsid w:val="00730C72"/>
    <w:rsid w:val="0073208E"/>
    <w:rsid w:val="00734453"/>
    <w:rsid w:val="007349A9"/>
    <w:rsid w:val="00734D1C"/>
    <w:rsid w:val="00734FDE"/>
    <w:rsid w:val="00736FB8"/>
    <w:rsid w:val="007403EE"/>
    <w:rsid w:val="00742F64"/>
    <w:rsid w:val="00746717"/>
    <w:rsid w:val="007512BE"/>
    <w:rsid w:val="00751C63"/>
    <w:rsid w:val="00752265"/>
    <w:rsid w:val="0075372C"/>
    <w:rsid w:val="0075442B"/>
    <w:rsid w:val="0075513E"/>
    <w:rsid w:val="00755965"/>
    <w:rsid w:val="00763CBA"/>
    <w:rsid w:val="00764CCD"/>
    <w:rsid w:val="00766615"/>
    <w:rsid w:val="00766A82"/>
    <w:rsid w:val="00767498"/>
    <w:rsid w:val="00770639"/>
    <w:rsid w:val="007725A9"/>
    <w:rsid w:val="00774DA9"/>
    <w:rsid w:val="00777AB5"/>
    <w:rsid w:val="00777F80"/>
    <w:rsid w:val="0078049F"/>
    <w:rsid w:val="00785C24"/>
    <w:rsid w:val="0079174D"/>
    <w:rsid w:val="00793535"/>
    <w:rsid w:val="007937A2"/>
    <w:rsid w:val="007940A3"/>
    <w:rsid w:val="00794EBF"/>
    <w:rsid w:val="00795370"/>
    <w:rsid w:val="007967A1"/>
    <w:rsid w:val="007A246B"/>
    <w:rsid w:val="007A4D1D"/>
    <w:rsid w:val="007B1424"/>
    <w:rsid w:val="007B145D"/>
    <w:rsid w:val="007B1BA8"/>
    <w:rsid w:val="007B3BF4"/>
    <w:rsid w:val="007B3F6B"/>
    <w:rsid w:val="007B5257"/>
    <w:rsid w:val="007B58B3"/>
    <w:rsid w:val="007C3052"/>
    <w:rsid w:val="007C3536"/>
    <w:rsid w:val="007D0544"/>
    <w:rsid w:val="007D5275"/>
    <w:rsid w:val="007E237D"/>
    <w:rsid w:val="007E4DE2"/>
    <w:rsid w:val="007E7260"/>
    <w:rsid w:val="007E7374"/>
    <w:rsid w:val="007E7812"/>
    <w:rsid w:val="007F288E"/>
    <w:rsid w:val="007F38F3"/>
    <w:rsid w:val="007F42A3"/>
    <w:rsid w:val="007F50BB"/>
    <w:rsid w:val="007F6EE3"/>
    <w:rsid w:val="007F7F49"/>
    <w:rsid w:val="0080422A"/>
    <w:rsid w:val="00805C1A"/>
    <w:rsid w:val="00810D73"/>
    <w:rsid w:val="008175F2"/>
    <w:rsid w:val="00820EF7"/>
    <w:rsid w:val="00822600"/>
    <w:rsid w:val="00822921"/>
    <w:rsid w:val="00822A6D"/>
    <w:rsid w:val="008242CE"/>
    <w:rsid w:val="0082701A"/>
    <w:rsid w:val="00830816"/>
    <w:rsid w:val="00830D3B"/>
    <w:rsid w:val="0083136E"/>
    <w:rsid w:val="00831DCE"/>
    <w:rsid w:val="0083427B"/>
    <w:rsid w:val="00834C62"/>
    <w:rsid w:val="00834E3D"/>
    <w:rsid w:val="008354EF"/>
    <w:rsid w:val="00835ECC"/>
    <w:rsid w:val="0084000E"/>
    <w:rsid w:val="00841C0A"/>
    <w:rsid w:val="00845E59"/>
    <w:rsid w:val="0085052F"/>
    <w:rsid w:val="0085292F"/>
    <w:rsid w:val="00855B3E"/>
    <w:rsid w:val="0085681E"/>
    <w:rsid w:val="00861741"/>
    <w:rsid w:val="00861F4F"/>
    <w:rsid w:val="0086242E"/>
    <w:rsid w:val="008630BF"/>
    <w:rsid w:val="008636F5"/>
    <w:rsid w:val="00865056"/>
    <w:rsid w:val="008702E1"/>
    <w:rsid w:val="00871955"/>
    <w:rsid w:val="00871B1A"/>
    <w:rsid w:val="00873819"/>
    <w:rsid w:val="00873D60"/>
    <w:rsid w:val="00876737"/>
    <w:rsid w:val="00877342"/>
    <w:rsid w:val="008777C7"/>
    <w:rsid w:val="00877A5B"/>
    <w:rsid w:val="0088110F"/>
    <w:rsid w:val="00881DF0"/>
    <w:rsid w:val="0088255C"/>
    <w:rsid w:val="008829D1"/>
    <w:rsid w:val="00882F98"/>
    <w:rsid w:val="00891549"/>
    <w:rsid w:val="00892E3F"/>
    <w:rsid w:val="00894C5A"/>
    <w:rsid w:val="00897C33"/>
    <w:rsid w:val="008A174B"/>
    <w:rsid w:val="008A394D"/>
    <w:rsid w:val="008B0267"/>
    <w:rsid w:val="008B225B"/>
    <w:rsid w:val="008B41D6"/>
    <w:rsid w:val="008B503E"/>
    <w:rsid w:val="008B63A7"/>
    <w:rsid w:val="008C369A"/>
    <w:rsid w:val="008C6674"/>
    <w:rsid w:val="008D0A2D"/>
    <w:rsid w:val="008D37A6"/>
    <w:rsid w:val="008D7CCC"/>
    <w:rsid w:val="008E0781"/>
    <w:rsid w:val="008F088E"/>
    <w:rsid w:val="00900F39"/>
    <w:rsid w:val="00914EA8"/>
    <w:rsid w:val="00917987"/>
    <w:rsid w:val="00922341"/>
    <w:rsid w:val="00922CC5"/>
    <w:rsid w:val="0092408A"/>
    <w:rsid w:val="009244A5"/>
    <w:rsid w:val="00925E2A"/>
    <w:rsid w:val="00927CDC"/>
    <w:rsid w:val="00931286"/>
    <w:rsid w:val="00932564"/>
    <w:rsid w:val="00932DE6"/>
    <w:rsid w:val="00933381"/>
    <w:rsid w:val="0093434B"/>
    <w:rsid w:val="0093555C"/>
    <w:rsid w:val="009367D1"/>
    <w:rsid w:val="00936F14"/>
    <w:rsid w:val="00936F5C"/>
    <w:rsid w:val="00937322"/>
    <w:rsid w:val="00941A7C"/>
    <w:rsid w:val="00942643"/>
    <w:rsid w:val="009432DD"/>
    <w:rsid w:val="00943B2C"/>
    <w:rsid w:val="00944800"/>
    <w:rsid w:val="00951166"/>
    <w:rsid w:val="00953E39"/>
    <w:rsid w:val="00953E43"/>
    <w:rsid w:val="00955AE4"/>
    <w:rsid w:val="00955DB4"/>
    <w:rsid w:val="00960595"/>
    <w:rsid w:val="0096313F"/>
    <w:rsid w:val="00965B5B"/>
    <w:rsid w:val="0096753C"/>
    <w:rsid w:val="009733BF"/>
    <w:rsid w:val="0097394E"/>
    <w:rsid w:val="00974906"/>
    <w:rsid w:val="00974AC5"/>
    <w:rsid w:val="009760AB"/>
    <w:rsid w:val="009762F4"/>
    <w:rsid w:val="009779EE"/>
    <w:rsid w:val="00977C3F"/>
    <w:rsid w:val="009801FF"/>
    <w:rsid w:val="00982546"/>
    <w:rsid w:val="00983853"/>
    <w:rsid w:val="00984845"/>
    <w:rsid w:val="00984DD0"/>
    <w:rsid w:val="0098583F"/>
    <w:rsid w:val="00986492"/>
    <w:rsid w:val="00987C72"/>
    <w:rsid w:val="00991267"/>
    <w:rsid w:val="00992EC6"/>
    <w:rsid w:val="009A22BC"/>
    <w:rsid w:val="009B0522"/>
    <w:rsid w:val="009B06E2"/>
    <w:rsid w:val="009B34D2"/>
    <w:rsid w:val="009B67A1"/>
    <w:rsid w:val="009C28F8"/>
    <w:rsid w:val="009C7D73"/>
    <w:rsid w:val="009D043D"/>
    <w:rsid w:val="009D0B64"/>
    <w:rsid w:val="009D0BCC"/>
    <w:rsid w:val="009D5054"/>
    <w:rsid w:val="009D5289"/>
    <w:rsid w:val="009E2DB4"/>
    <w:rsid w:val="009E32CB"/>
    <w:rsid w:val="009E57F5"/>
    <w:rsid w:val="009E68B4"/>
    <w:rsid w:val="009F212B"/>
    <w:rsid w:val="009F6054"/>
    <w:rsid w:val="00A019EF"/>
    <w:rsid w:val="00A02526"/>
    <w:rsid w:val="00A0488D"/>
    <w:rsid w:val="00A052FA"/>
    <w:rsid w:val="00A05321"/>
    <w:rsid w:val="00A06019"/>
    <w:rsid w:val="00A07A62"/>
    <w:rsid w:val="00A161D4"/>
    <w:rsid w:val="00A23D53"/>
    <w:rsid w:val="00A27897"/>
    <w:rsid w:val="00A30FDC"/>
    <w:rsid w:val="00A314CB"/>
    <w:rsid w:val="00A315CD"/>
    <w:rsid w:val="00A344BC"/>
    <w:rsid w:val="00A34F4A"/>
    <w:rsid w:val="00A417AA"/>
    <w:rsid w:val="00A41A60"/>
    <w:rsid w:val="00A42940"/>
    <w:rsid w:val="00A42EBC"/>
    <w:rsid w:val="00A46DCF"/>
    <w:rsid w:val="00A470DA"/>
    <w:rsid w:val="00A50045"/>
    <w:rsid w:val="00A506FE"/>
    <w:rsid w:val="00A563BE"/>
    <w:rsid w:val="00A576C9"/>
    <w:rsid w:val="00A579C9"/>
    <w:rsid w:val="00A6214A"/>
    <w:rsid w:val="00A6400C"/>
    <w:rsid w:val="00A64025"/>
    <w:rsid w:val="00A66278"/>
    <w:rsid w:val="00A674A8"/>
    <w:rsid w:val="00A678FB"/>
    <w:rsid w:val="00A70CB8"/>
    <w:rsid w:val="00A73040"/>
    <w:rsid w:val="00A741B7"/>
    <w:rsid w:val="00A76387"/>
    <w:rsid w:val="00A81C12"/>
    <w:rsid w:val="00A8327A"/>
    <w:rsid w:val="00A844E8"/>
    <w:rsid w:val="00A84ADA"/>
    <w:rsid w:val="00A850E6"/>
    <w:rsid w:val="00A85BE9"/>
    <w:rsid w:val="00A8701A"/>
    <w:rsid w:val="00A87E34"/>
    <w:rsid w:val="00A91570"/>
    <w:rsid w:val="00A96198"/>
    <w:rsid w:val="00AA28A4"/>
    <w:rsid w:val="00AA3BAD"/>
    <w:rsid w:val="00AA493D"/>
    <w:rsid w:val="00AA7244"/>
    <w:rsid w:val="00AB0238"/>
    <w:rsid w:val="00AB27BF"/>
    <w:rsid w:val="00AB3723"/>
    <w:rsid w:val="00AB4C0D"/>
    <w:rsid w:val="00AB6212"/>
    <w:rsid w:val="00AC09BC"/>
    <w:rsid w:val="00AC3F9D"/>
    <w:rsid w:val="00AC521D"/>
    <w:rsid w:val="00AC6AD6"/>
    <w:rsid w:val="00AD18E9"/>
    <w:rsid w:val="00AD1C2B"/>
    <w:rsid w:val="00AD3E28"/>
    <w:rsid w:val="00AD68B9"/>
    <w:rsid w:val="00AE0D66"/>
    <w:rsid w:val="00AE2DF1"/>
    <w:rsid w:val="00AE5427"/>
    <w:rsid w:val="00AF0229"/>
    <w:rsid w:val="00AF06EE"/>
    <w:rsid w:val="00AF37D1"/>
    <w:rsid w:val="00AF39C7"/>
    <w:rsid w:val="00AF3C20"/>
    <w:rsid w:val="00AF6A57"/>
    <w:rsid w:val="00AF7BBF"/>
    <w:rsid w:val="00B0014A"/>
    <w:rsid w:val="00B011D3"/>
    <w:rsid w:val="00B01240"/>
    <w:rsid w:val="00B03BF4"/>
    <w:rsid w:val="00B052CF"/>
    <w:rsid w:val="00B057EF"/>
    <w:rsid w:val="00B0661C"/>
    <w:rsid w:val="00B06FAA"/>
    <w:rsid w:val="00B07C2D"/>
    <w:rsid w:val="00B07E14"/>
    <w:rsid w:val="00B10B8D"/>
    <w:rsid w:val="00B11A99"/>
    <w:rsid w:val="00B12010"/>
    <w:rsid w:val="00B13CEB"/>
    <w:rsid w:val="00B15894"/>
    <w:rsid w:val="00B2055A"/>
    <w:rsid w:val="00B21175"/>
    <w:rsid w:val="00B21D85"/>
    <w:rsid w:val="00B222C5"/>
    <w:rsid w:val="00B2554F"/>
    <w:rsid w:val="00B30CB4"/>
    <w:rsid w:val="00B314B4"/>
    <w:rsid w:val="00B31679"/>
    <w:rsid w:val="00B3167D"/>
    <w:rsid w:val="00B35C12"/>
    <w:rsid w:val="00B41FD3"/>
    <w:rsid w:val="00B43EB3"/>
    <w:rsid w:val="00B43FCE"/>
    <w:rsid w:val="00B44E7B"/>
    <w:rsid w:val="00B47E25"/>
    <w:rsid w:val="00B505BD"/>
    <w:rsid w:val="00B510FF"/>
    <w:rsid w:val="00B5242F"/>
    <w:rsid w:val="00B52C2E"/>
    <w:rsid w:val="00B549A4"/>
    <w:rsid w:val="00B56604"/>
    <w:rsid w:val="00B57409"/>
    <w:rsid w:val="00B6009C"/>
    <w:rsid w:val="00B65E1E"/>
    <w:rsid w:val="00B660F4"/>
    <w:rsid w:val="00B670E9"/>
    <w:rsid w:val="00B70922"/>
    <w:rsid w:val="00B728AF"/>
    <w:rsid w:val="00B83FF0"/>
    <w:rsid w:val="00B84DB9"/>
    <w:rsid w:val="00B85423"/>
    <w:rsid w:val="00B870F4"/>
    <w:rsid w:val="00B91B0D"/>
    <w:rsid w:val="00B92EAE"/>
    <w:rsid w:val="00B94C98"/>
    <w:rsid w:val="00B94E45"/>
    <w:rsid w:val="00BA005A"/>
    <w:rsid w:val="00BA085D"/>
    <w:rsid w:val="00BA2461"/>
    <w:rsid w:val="00BA26F6"/>
    <w:rsid w:val="00BA54A5"/>
    <w:rsid w:val="00BA6F9D"/>
    <w:rsid w:val="00BB1679"/>
    <w:rsid w:val="00BB5DC0"/>
    <w:rsid w:val="00BB6FB6"/>
    <w:rsid w:val="00BC1DC0"/>
    <w:rsid w:val="00BC4C49"/>
    <w:rsid w:val="00BD1918"/>
    <w:rsid w:val="00BD6DCF"/>
    <w:rsid w:val="00BE4136"/>
    <w:rsid w:val="00BE4178"/>
    <w:rsid w:val="00BF10CD"/>
    <w:rsid w:val="00BF4881"/>
    <w:rsid w:val="00BF4ED6"/>
    <w:rsid w:val="00BF5223"/>
    <w:rsid w:val="00BF5317"/>
    <w:rsid w:val="00BF5A24"/>
    <w:rsid w:val="00BF669B"/>
    <w:rsid w:val="00BF6C56"/>
    <w:rsid w:val="00C03F8C"/>
    <w:rsid w:val="00C079BD"/>
    <w:rsid w:val="00C10635"/>
    <w:rsid w:val="00C10F2D"/>
    <w:rsid w:val="00C13690"/>
    <w:rsid w:val="00C161B9"/>
    <w:rsid w:val="00C17199"/>
    <w:rsid w:val="00C20CBA"/>
    <w:rsid w:val="00C232F9"/>
    <w:rsid w:val="00C23465"/>
    <w:rsid w:val="00C243AD"/>
    <w:rsid w:val="00C249D2"/>
    <w:rsid w:val="00C24A2A"/>
    <w:rsid w:val="00C260E8"/>
    <w:rsid w:val="00C30A36"/>
    <w:rsid w:val="00C30D19"/>
    <w:rsid w:val="00C312CC"/>
    <w:rsid w:val="00C325DC"/>
    <w:rsid w:val="00C3407E"/>
    <w:rsid w:val="00C34472"/>
    <w:rsid w:val="00C35938"/>
    <w:rsid w:val="00C45611"/>
    <w:rsid w:val="00C517BF"/>
    <w:rsid w:val="00C56CC1"/>
    <w:rsid w:val="00C57676"/>
    <w:rsid w:val="00C6115A"/>
    <w:rsid w:val="00C626F0"/>
    <w:rsid w:val="00C646EB"/>
    <w:rsid w:val="00C67268"/>
    <w:rsid w:val="00C7584E"/>
    <w:rsid w:val="00C77BD5"/>
    <w:rsid w:val="00C804E6"/>
    <w:rsid w:val="00C81BD7"/>
    <w:rsid w:val="00C858CD"/>
    <w:rsid w:val="00C86889"/>
    <w:rsid w:val="00C90780"/>
    <w:rsid w:val="00C927B6"/>
    <w:rsid w:val="00C94B0F"/>
    <w:rsid w:val="00C94E7F"/>
    <w:rsid w:val="00C957B6"/>
    <w:rsid w:val="00C95D93"/>
    <w:rsid w:val="00C965F1"/>
    <w:rsid w:val="00C96661"/>
    <w:rsid w:val="00C9726F"/>
    <w:rsid w:val="00CA0312"/>
    <w:rsid w:val="00CA08B0"/>
    <w:rsid w:val="00CA1B7C"/>
    <w:rsid w:val="00CA2C84"/>
    <w:rsid w:val="00CB323C"/>
    <w:rsid w:val="00CC1BA0"/>
    <w:rsid w:val="00CC5300"/>
    <w:rsid w:val="00CD3D74"/>
    <w:rsid w:val="00CD5D61"/>
    <w:rsid w:val="00CE1C91"/>
    <w:rsid w:val="00CE4C14"/>
    <w:rsid w:val="00CF03AC"/>
    <w:rsid w:val="00CF596B"/>
    <w:rsid w:val="00CF597C"/>
    <w:rsid w:val="00CF5E7C"/>
    <w:rsid w:val="00D01D70"/>
    <w:rsid w:val="00D0419F"/>
    <w:rsid w:val="00D045BB"/>
    <w:rsid w:val="00D05A96"/>
    <w:rsid w:val="00D065DD"/>
    <w:rsid w:val="00D06AA8"/>
    <w:rsid w:val="00D07871"/>
    <w:rsid w:val="00D1057D"/>
    <w:rsid w:val="00D1129B"/>
    <w:rsid w:val="00D148B2"/>
    <w:rsid w:val="00D15F60"/>
    <w:rsid w:val="00D16DF2"/>
    <w:rsid w:val="00D20612"/>
    <w:rsid w:val="00D20617"/>
    <w:rsid w:val="00D235EB"/>
    <w:rsid w:val="00D23B58"/>
    <w:rsid w:val="00D24CA0"/>
    <w:rsid w:val="00D25503"/>
    <w:rsid w:val="00D273EA"/>
    <w:rsid w:val="00D315BC"/>
    <w:rsid w:val="00D34D4E"/>
    <w:rsid w:val="00D440F4"/>
    <w:rsid w:val="00D50990"/>
    <w:rsid w:val="00D5188E"/>
    <w:rsid w:val="00D52039"/>
    <w:rsid w:val="00D54A48"/>
    <w:rsid w:val="00D67917"/>
    <w:rsid w:val="00D70C76"/>
    <w:rsid w:val="00D72198"/>
    <w:rsid w:val="00D723CB"/>
    <w:rsid w:val="00D7294E"/>
    <w:rsid w:val="00D7399D"/>
    <w:rsid w:val="00D80425"/>
    <w:rsid w:val="00D83624"/>
    <w:rsid w:val="00D8578E"/>
    <w:rsid w:val="00D87D80"/>
    <w:rsid w:val="00D90CD0"/>
    <w:rsid w:val="00D918A8"/>
    <w:rsid w:val="00D91A4F"/>
    <w:rsid w:val="00D9477E"/>
    <w:rsid w:val="00DA0BF8"/>
    <w:rsid w:val="00DA18C3"/>
    <w:rsid w:val="00DA2603"/>
    <w:rsid w:val="00DA38F0"/>
    <w:rsid w:val="00DA3B20"/>
    <w:rsid w:val="00DA4BB5"/>
    <w:rsid w:val="00DA5C0B"/>
    <w:rsid w:val="00DB1B17"/>
    <w:rsid w:val="00DB3FB1"/>
    <w:rsid w:val="00DB54E0"/>
    <w:rsid w:val="00DB7D3B"/>
    <w:rsid w:val="00DC112F"/>
    <w:rsid w:val="00DC2CE7"/>
    <w:rsid w:val="00DC525D"/>
    <w:rsid w:val="00DC6CA6"/>
    <w:rsid w:val="00DD1A31"/>
    <w:rsid w:val="00DD30C5"/>
    <w:rsid w:val="00DD74F9"/>
    <w:rsid w:val="00DE0748"/>
    <w:rsid w:val="00DE0E54"/>
    <w:rsid w:val="00DE2C6D"/>
    <w:rsid w:val="00DE2EBE"/>
    <w:rsid w:val="00DE4A51"/>
    <w:rsid w:val="00DE6488"/>
    <w:rsid w:val="00DE7FCB"/>
    <w:rsid w:val="00DF4328"/>
    <w:rsid w:val="00DF5A11"/>
    <w:rsid w:val="00E00355"/>
    <w:rsid w:val="00E03719"/>
    <w:rsid w:val="00E06B51"/>
    <w:rsid w:val="00E118A9"/>
    <w:rsid w:val="00E151C4"/>
    <w:rsid w:val="00E168B3"/>
    <w:rsid w:val="00E23F29"/>
    <w:rsid w:val="00E25E82"/>
    <w:rsid w:val="00E27F8F"/>
    <w:rsid w:val="00E32990"/>
    <w:rsid w:val="00E33266"/>
    <w:rsid w:val="00E379B3"/>
    <w:rsid w:val="00E408D0"/>
    <w:rsid w:val="00E41E16"/>
    <w:rsid w:val="00E41FC7"/>
    <w:rsid w:val="00E4218C"/>
    <w:rsid w:val="00E42A69"/>
    <w:rsid w:val="00E42D16"/>
    <w:rsid w:val="00E43EE9"/>
    <w:rsid w:val="00E44626"/>
    <w:rsid w:val="00E4592C"/>
    <w:rsid w:val="00E509B3"/>
    <w:rsid w:val="00E5211B"/>
    <w:rsid w:val="00E55D8E"/>
    <w:rsid w:val="00E61CD3"/>
    <w:rsid w:val="00E647DC"/>
    <w:rsid w:val="00E65F3E"/>
    <w:rsid w:val="00E671DD"/>
    <w:rsid w:val="00E70787"/>
    <w:rsid w:val="00E71E13"/>
    <w:rsid w:val="00E73C02"/>
    <w:rsid w:val="00E82D9A"/>
    <w:rsid w:val="00E85B9E"/>
    <w:rsid w:val="00E864A2"/>
    <w:rsid w:val="00E86DBC"/>
    <w:rsid w:val="00E87EAD"/>
    <w:rsid w:val="00E91741"/>
    <w:rsid w:val="00E91B9F"/>
    <w:rsid w:val="00E952D2"/>
    <w:rsid w:val="00E96E05"/>
    <w:rsid w:val="00E979E2"/>
    <w:rsid w:val="00EA0F4D"/>
    <w:rsid w:val="00EA51CD"/>
    <w:rsid w:val="00EB102D"/>
    <w:rsid w:val="00EB3751"/>
    <w:rsid w:val="00EB46B0"/>
    <w:rsid w:val="00EB644C"/>
    <w:rsid w:val="00EB6D81"/>
    <w:rsid w:val="00EC01CD"/>
    <w:rsid w:val="00EC0577"/>
    <w:rsid w:val="00EC128D"/>
    <w:rsid w:val="00EC16DE"/>
    <w:rsid w:val="00EC2CA2"/>
    <w:rsid w:val="00EC6576"/>
    <w:rsid w:val="00EC6B42"/>
    <w:rsid w:val="00ED09EA"/>
    <w:rsid w:val="00ED112D"/>
    <w:rsid w:val="00ED45E4"/>
    <w:rsid w:val="00EE04B9"/>
    <w:rsid w:val="00EE1942"/>
    <w:rsid w:val="00EE4A41"/>
    <w:rsid w:val="00EE6420"/>
    <w:rsid w:val="00EF0D9C"/>
    <w:rsid w:val="00EF149C"/>
    <w:rsid w:val="00EF373E"/>
    <w:rsid w:val="00F03456"/>
    <w:rsid w:val="00F03540"/>
    <w:rsid w:val="00F03829"/>
    <w:rsid w:val="00F03E3D"/>
    <w:rsid w:val="00F048BC"/>
    <w:rsid w:val="00F06049"/>
    <w:rsid w:val="00F10F6F"/>
    <w:rsid w:val="00F13610"/>
    <w:rsid w:val="00F14F50"/>
    <w:rsid w:val="00F172F9"/>
    <w:rsid w:val="00F17CDA"/>
    <w:rsid w:val="00F2492A"/>
    <w:rsid w:val="00F24C44"/>
    <w:rsid w:val="00F259A2"/>
    <w:rsid w:val="00F2636A"/>
    <w:rsid w:val="00F263B2"/>
    <w:rsid w:val="00F273CA"/>
    <w:rsid w:val="00F276FD"/>
    <w:rsid w:val="00F27DD0"/>
    <w:rsid w:val="00F310C5"/>
    <w:rsid w:val="00F31C6F"/>
    <w:rsid w:val="00F363FD"/>
    <w:rsid w:val="00F370D9"/>
    <w:rsid w:val="00F37D01"/>
    <w:rsid w:val="00F418E1"/>
    <w:rsid w:val="00F45E12"/>
    <w:rsid w:val="00F47B0F"/>
    <w:rsid w:val="00F510B4"/>
    <w:rsid w:val="00F64CAB"/>
    <w:rsid w:val="00F66BCA"/>
    <w:rsid w:val="00F67CEE"/>
    <w:rsid w:val="00F701BC"/>
    <w:rsid w:val="00F752F0"/>
    <w:rsid w:val="00F75706"/>
    <w:rsid w:val="00F76940"/>
    <w:rsid w:val="00F76ECB"/>
    <w:rsid w:val="00F81D7C"/>
    <w:rsid w:val="00F820DC"/>
    <w:rsid w:val="00F8368E"/>
    <w:rsid w:val="00F8440F"/>
    <w:rsid w:val="00F9150D"/>
    <w:rsid w:val="00F92BEE"/>
    <w:rsid w:val="00F943F7"/>
    <w:rsid w:val="00F95D2B"/>
    <w:rsid w:val="00F95D4D"/>
    <w:rsid w:val="00FA17A0"/>
    <w:rsid w:val="00FA1875"/>
    <w:rsid w:val="00FA2C08"/>
    <w:rsid w:val="00FA5E4F"/>
    <w:rsid w:val="00FB0E02"/>
    <w:rsid w:val="00FB7493"/>
    <w:rsid w:val="00FB77CA"/>
    <w:rsid w:val="00FB7897"/>
    <w:rsid w:val="00FC3925"/>
    <w:rsid w:val="00FC412E"/>
    <w:rsid w:val="00FC52EB"/>
    <w:rsid w:val="00FC6956"/>
    <w:rsid w:val="00FD46F6"/>
    <w:rsid w:val="00FD75A3"/>
    <w:rsid w:val="00FE0DB2"/>
    <w:rsid w:val="00FE179D"/>
    <w:rsid w:val="00FE2C06"/>
    <w:rsid w:val="00FE4979"/>
    <w:rsid w:val="00FE571E"/>
    <w:rsid w:val="00FE6F3C"/>
    <w:rsid w:val="00FE7BE3"/>
    <w:rsid w:val="00FF07E2"/>
    <w:rsid w:val="00FF2979"/>
    <w:rsid w:val="00FF2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31ECB-C9E6-44FF-91DA-4F7AFB2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C02"/>
    <w:pPr>
      <w:bidi/>
      <w:spacing w:after="200" w:line="276" w:lineRule="auto"/>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semiHidden/>
    <w:unhideWhenUsed/>
    <w:qFormat/>
    <w:rsid w:val="008270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27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20">
    <w:name w:val="כותרת 2 תו"/>
    <w:basedOn w:val="a0"/>
    <w:link w:val="2"/>
    <w:uiPriority w:val="9"/>
    <w:semiHidden/>
    <w:rsid w:val="0082701A"/>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semiHidden/>
    <w:rsid w:val="0082701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0069">
      <w:bodyDiv w:val="1"/>
      <w:marLeft w:val="0"/>
      <w:marRight w:val="0"/>
      <w:marTop w:val="0"/>
      <w:marBottom w:val="0"/>
      <w:divBdr>
        <w:top w:val="none" w:sz="0" w:space="0" w:color="auto"/>
        <w:left w:val="none" w:sz="0" w:space="0" w:color="auto"/>
        <w:bottom w:val="none" w:sz="0" w:space="0" w:color="auto"/>
        <w:right w:val="none" w:sz="0" w:space="0" w:color="auto"/>
      </w:divBdr>
    </w:div>
    <w:div w:id="412166130">
      <w:bodyDiv w:val="1"/>
      <w:marLeft w:val="0"/>
      <w:marRight w:val="0"/>
      <w:marTop w:val="0"/>
      <w:marBottom w:val="0"/>
      <w:divBdr>
        <w:top w:val="none" w:sz="0" w:space="0" w:color="auto"/>
        <w:left w:val="none" w:sz="0" w:space="0" w:color="auto"/>
        <w:bottom w:val="none" w:sz="0" w:space="0" w:color="auto"/>
        <w:right w:val="none" w:sz="0" w:space="0" w:color="auto"/>
      </w:divBdr>
      <w:divsChild>
        <w:div w:id="1093823761">
          <w:marLeft w:val="0"/>
          <w:marRight w:val="547"/>
          <w:marTop w:val="0"/>
          <w:marBottom w:val="0"/>
          <w:divBdr>
            <w:top w:val="none" w:sz="0" w:space="0" w:color="auto"/>
            <w:left w:val="none" w:sz="0" w:space="0" w:color="auto"/>
            <w:bottom w:val="none" w:sz="0" w:space="0" w:color="auto"/>
            <w:right w:val="none" w:sz="0" w:space="0" w:color="auto"/>
          </w:divBdr>
        </w:div>
        <w:div w:id="1077216169">
          <w:marLeft w:val="0"/>
          <w:marRight w:val="1166"/>
          <w:marTop w:val="0"/>
          <w:marBottom w:val="0"/>
          <w:divBdr>
            <w:top w:val="none" w:sz="0" w:space="0" w:color="auto"/>
            <w:left w:val="none" w:sz="0" w:space="0" w:color="auto"/>
            <w:bottom w:val="none" w:sz="0" w:space="0" w:color="auto"/>
            <w:right w:val="none" w:sz="0" w:space="0" w:color="auto"/>
          </w:divBdr>
        </w:div>
        <w:div w:id="1288976339">
          <w:marLeft w:val="0"/>
          <w:marRight w:val="1166"/>
          <w:marTop w:val="0"/>
          <w:marBottom w:val="0"/>
          <w:divBdr>
            <w:top w:val="none" w:sz="0" w:space="0" w:color="auto"/>
            <w:left w:val="none" w:sz="0" w:space="0" w:color="auto"/>
            <w:bottom w:val="none" w:sz="0" w:space="0" w:color="auto"/>
            <w:right w:val="none" w:sz="0" w:space="0" w:color="auto"/>
          </w:divBdr>
        </w:div>
        <w:div w:id="1573081121">
          <w:marLeft w:val="0"/>
          <w:marRight w:val="1166"/>
          <w:marTop w:val="0"/>
          <w:marBottom w:val="0"/>
          <w:divBdr>
            <w:top w:val="none" w:sz="0" w:space="0" w:color="auto"/>
            <w:left w:val="none" w:sz="0" w:space="0" w:color="auto"/>
            <w:bottom w:val="none" w:sz="0" w:space="0" w:color="auto"/>
            <w:right w:val="none" w:sz="0" w:space="0" w:color="auto"/>
          </w:divBdr>
        </w:div>
      </w:divsChild>
    </w:div>
    <w:div w:id="14638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425B-732C-40A4-9BFE-8F332787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2161</Words>
  <Characters>10806</Characters>
  <Application>Microsoft Office Word</Application>
  <DocSecurity>0</DocSecurity>
  <Lines>90</Lines>
  <Paragraphs>25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39</cp:revision>
  <cp:lastPrinted>2014-11-10T06:43:00Z</cp:lastPrinted>
  <dcterms:created xsi:type="dcterms:W3CDTF">2014-12-14T12:46:00Z</dcterms:created>
  <dcterms:modified xsi:type="dcterms:W3CDTF">2014-12-14T18:44:00Z</dcterms:modified>
</cp:coreProperties>
</file>