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BD" w:rsidRDefault="00A52CBD">
      <w:pPr>
        <w:pStyle w:val="2"/>
        <w:rPr>
          <w:szCs w:val="42"/>
          <w:rtl/>
        </w:rPr>
      </w:pPr>
      <w:bookmarkStart w:id="0" w:name="_GoBack"/>
      <w:r>
        <w:rPr>
          <w:rFonts w:hint="cs"/>
          <w:szCs w:val="42"/>
          <w:rtl/>
        </w:rPr>
        <w:t>גופים ופרסומים, חשבונאים וביקורת, בארץ ובעולם</w:t>
      </w:r>
    </w:p>
    <w:bookmarkEnd w:id="0"/>
    <w:p w:rsidR="00A52CBD" w:rsidRPr="00AF34D6" w:rsidRDefault="00A52CBD">
      <w:pPr>
        <w:spacing w:line="360" w:lineRule="auto"/>
        <w:jc w:val="both"/>
        <w:rPr>
          <w:rFonts w:cs="David"/>
          <w:sz w:val="2"/>
          <w:szCs w:val="2"/>
          <w:rtl/>
        </w:rPr>
      </w:pPr>
    </w:p>
    <w:p w:rsidR="00A52CBD" w:rsidRPr="00AF34D6" w:rsidRDefault="00A52CBD" w:rsidP="00AF34D6">
      <w:pPr>
        <w:spacing w:line="360" w:lineRule="auto"/>
        <w:jc w:val="both"/>
        <w:rPr>
          <w:rFonts w:cs="David"/>
          <w:rtl/>
        </w:rPr>
      </w:pPr>
      <w:r>
        <w:rPr>
          <w:rFonts w:cs="David"/>
        </w:rPr>
        <w:t xml:space="preserve"> </w:t>
      </w:r>
      <w:r>
        <w:rPr>
          <w:rFonts w:cs="David" w:hint="cs"/>
          <w:b/>
          <w:bCs/>
        </w:rPr>
        <w:t>GAAP</w:t>
      </w:r>
      <w:r>
        <w:rPr>
          <w:rFonts w:cs="David" w:hint="cs"/>
          <w:rtl/>
        </w:rPr>
        <w:t xml:space="preserve">- </w:t>
      </w:r>
      <w:r>
        <w:rPr>
          <w:rFonts w:cs="David"/>
        </w:rPr>
        <w:t>Generally Accepted Accounting Principles</w:t>
      </w:r>
      <w:r>
        <w:rPr>
          <w:rFonts w:cs="David" w:hint="cs"/>
          <w:rtl/>
        </w:rPr>
        <w:t xml:space="preserve"> - עקרונות חשבונאות מקובלים (למדינה מסוימת).</w:t>
      </w:r>
    </w:p>
    <w:p w:rsidR="00A52CBD" w:rsidRDefault="00A52CBD" w:rsidP="00AF34D6">
      <w:pPr>
        <w:spacing w:line="360" w:lineRule="auto"/>
        <w:jc w:val="both"/>
        <w:rPr>
          <w:rFonts w:cs="David"/>
          <w:rtl/>
        </w:rPr>
      </w:pPr>
      <w:r>
        <w:rPr>
          <w:rFonts w:cs="David" w:hint="cs"/>
          <w:b/>
          <w:bCs/>
        </w:rPr>
        <w:t>GAA</w:t>
      </w:r>
      <w:r>
        <w:rPr>
          <w:rFonts w:cs="David"/>
          <w:b/>
          <w:bCs/>
        </w:rPr>
        <w:t>S</w:t>
      </w:r>
      <w:r>
        <w:rPr>
          <w:rFonts w:cs="David" w:hint="cs"/>
          <w:rtl/>
        </w:rPr>
        <w:t xml:space="preserve"> - </w:t>
      </w:r>
      <w:r>
        <w:rPr>
          <w:rFonts w:cs="David"/>
        </w:rPr>
        <w:t>Generally Accepted Audit Standards</w:t>
      </w:r>
      <w:r>
        <w:rPr>
          <w:rFonts w:cs="David" w:hint="cs"/>
          <w:rtl/>
        </w:rPr>
        <w:t xml:space="preserve"> - תקני ביקורת מקובלים (למדינה מסוימת).</w:t>
      </w:r>
    </w:p>
    <w:p w:rsidR="00A52CBD" w:rsidRDefault="00A52CBD">
      <w:pPr>
        <w:tabs>
          <w:tab w:val="left" w:pos="926"/>
          <w:tab w:val="left" w:pos="1466"/>
        </w:tabs>
        <w:spacing w:before="240" w:line="360" w:lineRule="auto"/>
        <w:ind w:left="1466" w:hanging="1466"/>
        <w:jc w:val="both"/>
        <w:rPr>
          <w:rFonts w:cs="David"/>
          <w:b/>
          <w:bCs/>
          <w:sz w:val="28"/>
          <w:szCs w:val="28"/>
          <w:u w:val="single"/>
          <w:rtl/>
        </w:rPr>
      </w:pPr>
      <w:r>
        <w:rPr>
          <w:rFonts w:cs="David" w:hint="cs"/>
          <w:b/>
          <w:bCs/>
          <w:sz w:val="28"/>
          <w:szCs w:val="28"/>
          <w:u w:val="single"/>
          <w:rtl/>
        </w:rPr>
        <w:t>ישראל</w:t>
      </w:r>
    </w:p>
    <w:p w:rsidR="00A52CBD" w:rsidRDefault="00A52CBD">
      <w:pPr>
        <w:spacing w:line="360" w:lineRule="auto"/>
        <w:jc w:val="both"/>
        <w:rPr>
          <w:rFonts w:cs="David"/>
          <w:b/>
          <w:bCs/>
          <w:rtl/>
        </w:rPr>
      </w:pPr>
      <w:r>
        <w:rPr>
          <w:rFonts w:cs="David" w:hint="cs"/>
          <w:b/>
          <w:bCs/>
          <w:rtl/>
        </w:rPr>
        <w:t xml:space="preserve">לשכת רואי חשבון בישראל - </w:t>
      </w:r>
      <w:r>
        <w:rPr>
          <w:rFonts w:cs="David" w:hint="cs"/>
          <w:rtl/>
        </w:rPr>
        <w:t>איגוד עצמאי מקצועי שהוקם ב- 1931 על בסיס התנדבותי של רואי החשבון בישראל. תפקידיה של הלשכה, בין היתר, ייצוג רואי החשבון בישראל, שמירה על עקרונות האתיקה המקצועית, קידום אי תלותם מעמדם וזכויותיהם החוקיות של חברי הלשכה, טיפוח יחסי חברות בין חברי הלשכה, טיפול בבעיות הקשורות למקצוע, עריכת השתלמויות לחברי הלשכה וכיוצ"ב. ללשכת רואי חשבון בישראל קיים נציג בין 18 חברי הנהלת הפדרציה העולמית של לשכת רואי חשבון המאגדת לשכות רואי חשבון מרחבי העולם.</w:t>
      </w:r>
    </w:p>
    <w:p w:rsidR="00A52CBD" w:rsidRPr="00AF34D6" w:rsidRDefault="00A52CBD">
      <w:pPr>
        <w:spacing w:line="360" w:lineRule="auto"/>
        <w:jc w:val="both"/>
        <w:rPr>
          <w:rFonts w:cs="David"/>
          <w:b/>
          <w:bCs/>
          <w:sz w:val="20"/>
          <w:szCs w:val="20"/>
          <w:rtl/>
        </w:rPr>
      </w:pPr>
    </w:p>
    <w:p w:rsidR="00A52CBD" w:rsidRDefault="00464900" w:rsidP="006B7126">
      <w:pPr>
        <w:spacing w:line="360" w:lineRule="auto"/>
        <w:jc w:val="both"/>
        <w:rPr>
          <w:rFonts w:cs="David"/>
          <w:b/>
          <w:bCs/>
          <w:rtl/>
        </w:rPr>
      </w:pPr>
      <w:r>
        <w:rPr>
          <w:rFonts w:cs="David" w:hint="cs"/>
          <w:b/>
          <w:bCs/>
          <w:rtl/>
        </w:rPr>
        <w:t>תקני ביקורת</w:t>
      </w:r>
      <w:r w:rsidR="00A52CBD">
        <w:rPr>
          <w:rFonts w:cs="David" w:hint="cs"/>
          <w:b/>
          <w:bCs/>
          <w:rtl/>
        </w:rPr>
        <w:t xml:space="preserve"> - </w:t>
      </w:r>
      <w:r w:rsidR="00A52CBD">
        <w:rPr>
          <w:rFonts w:cs="David" w:hint="cs"/>
          <w:rtl/>
        </w:rPr>
        <w:t>בעבר, פרסמה לשכת רואי חשבון פרסומים חשבונאים הן בביקורת והן בחשבונאות אשר נקראו גילויי דעת. עם הקמתו של המוסד הישראלי לתקינה בחשבונאות, מפרסמת לשכת רואי חשבון פרסומים בביקורת בלבד</w:t>
      </w:r>
      <w:r w:rsidR="006B7126">
        <w:rPr>
          <w:rFonts w:cs="David" w:hint="cs"/>
          <w:rtl/>
        </w:rPr>
        <w:t xml:space="preserve"> אשר עד סוף שנת 2007 נקראו גילוי דעת. ממועד זה שונה שם הפרסום</w:t>
      </w:r>
      <w:r w:rsidR="00A52CBD">
        <w:rPr>
          <w:rFonts w:cs="David" w:hint="cs"/>
          <w:rtl/>
        </w:rPr>
        <w:t xml:space="preserve"> </w:t>
      </w:r>
      <w:r w:rsidR="006B7126">
        <w:rPr>
          <w:rFonts w:cs="David" w:hint="cs"/>
          <w:rtl/>
        </w:rPr>
        <w:t>מ</w:t>
      </w:r>
      <w:r>
        <w:rPr>
          <w:rFonts w:cs="David" w:hint="cs"/>
          <w:rtl/>
        </w:rPr>
        <w:t>"גילוי דעת"</w:t>
      </w:r>
      <w:r w:rsidR="00A52CBD">
        <w:rPr>
          <w:rFonts w:cs="David" w:hint="cs"/>
          <w:rtl/>
        </w:rPr>
        <w:t xml:space="preserve"> </w:t>
      </w:r>
      <w:r w:rsidR="006B7126">
        <w:rPr>
          <w:rFonts w:cs="David" w:hint="cs"/>
          <w:rtl/>
        </w:rPr>
        <w:t>ל</w:t>
      </w:r>
      <w:r>
        <w:rPr>
          <w:rFonts w:cs="David" w:hint="cs"/>
          <w:rtl/>
        </w:rPr>
        <w:t xml:space="preserve">"תקן ביקורת" </w:t>
      </w:r>
      <w:r w:rsidR="00A52CBD">
        <w:rPr>
          <w:rFonts w:cs="David" w:hint="cs"/>
          <w:rtl/>
        </w:rPr>
        <w:t>(</w:t>
      </w:r>
      <w:r>
        <w:rPr>
          <w:rFonts w:cs="David" w:hint="cs"/>
          <w:rtl/>
        </w:rPr>
        <w:t>תקן הביקורת</w:t>
      </w:r>
      <w:r w:rsidR="00A52CBD">
        <w:rPr>
          <w:rFonts w:cs="David" w:hint="cs"/>
          <w:rtl/>
        </w:rPr>
        <w:t xml:space="preserve"> האחרון שפורסם הינו </w:t>
      </w:r>
      <w:r>
        <w:rPr>
          <w:rFonts w:cs="David" w:hint="cs"/>
          <w:rtl/>
        </w:rPr>
        <w:t>תקן ביקורת 98 בדבר נהלי המבקר במענה לסיכונים שהוערכו</w:t>
      </w:r>
      <w:r w:rsidR="00A52CBD">
        <w:rPr>
          <w:rFonts w:cs="David" w:hint="cs"/>
          <w:rtl/>
        </w:rPr>
        <w:t>). גילויי הדעת בחשבונאות שפרסמה הלשכה בעבר הינם בתוקף כל עוד לא בוטלו על ידי פרסומים של המוסד הישראלי לתקינה בחשבונאות.</w:t>
      </w:r>
    </w:p>
    <w:p w:rsidR="00A52CBD" w:rsidRPr="00AF34D6" w:rsidRDefault="00A52CBD">
      <w:pPr>
        <w:spacing w:line="360" w:lineRule="auto"/>
        <w:jc w:val="both"/>
        <w:rPr>
          <w:rFonts w:cs="David"/>
          <w:b/>
          <w:bCs/>
          <w:sz w:val="20"/>
          <w:szCs w:val="20"/>
          <w:rtl/>
        </w:rPr>
      </w:pPr>
      <w:r w:rsidRPr="00AF34D6">
        <w:rPr>
          <w:rFonts w:cs="David" w:hint="cs"/>
          <w:b/>
          <w:bCs/>
          <w:sz w:val="20"/>
          <w:szCs w:val="20"/>
          <w:rtl/>
        </w:rPr>
        <w:t xml:space="preserve"> </w:t>
      </w:r>
    </w:p>
    <w:p w:rsidR="00AF34D6" w:rsidRPr="00AF34D6" w:rsidRDefault="00AF34D6" w:rsidP="00AF34D6">
      <w:pPr>
        <w:spacing w:line="360" w:lineRule="auto"/>
        <w:jc w:val="both"/>
        <w:rPr>
          <w:rFonts w:cs="David"/>
        </w:rPr>
      </w:pPr>
      <w:r w:rsidRPr="00AF34D6">
        <w:rPr>
          <w:rFonts w:cs="David"/>
          <w:b/>
          <w:bCs/>
          <w:rtl/>
        </w:rPr>
        <w:t>המוסד לסקירת עמיתים -</w:t>
      </w:r>
      <w:r w:rsidRPr="00AF34D6">
        <w:rPr>
          <w:rFonts w:cs="David"/>
          <w:rtl/>
        </w:rPr>
        <w:t xml:space="preserve"> חברה בת של לשכת רואי חשבון בישראל שהוקמה לצורך שמירה על רמה מקצועית נאותה של משרדי רואי החשבון וזאת באמצעות סקירת עבודתו של משרד רואי החשבון המבקר דוחות כספיים של חברות ציבוריות ע</w:t>
      </w:r>
      <w:r>
        <w:rPr>
          <w:rFonts w:cs="David" w:hint="cs"/>
          <w:rtl/>
        </w:rPr>
        <w:t>"י</w:t>
      </w:r>
      <w:r w:rsidRPr="00AF34D6">
        <w:rPr>
          <w:rFonts w:cs="David"/>
          <w:rtl/>
        </w:rPr>
        <w:t xml:space="preserve"> </w:t>
      </w:r>
      <w:r>
        <w:rPr>
          <w:rFonts w:cs="David" w:hint="cs"/>
          <w:rtl/>
        </w:rPr>
        <w:t>סוקרים שאינם עובדי</w:t>
      </w:r>
      <w:r w:rsidRPr="00AF34D6">
        <w:rPr>
          <w:rFonts w:cs="David"/>
          <w:rtl/>
        </w:rPr>
        <w:t xml:space="preserve"> המשרד</w:t>
      </w:r>
      <w:r>
        <w:rPr>
          <w:rFonts w:cs="David" w:hint="cs"/>
          <w:rtl/>
        </w:rPr>
        <w:t xml:space="preserve"> הנבדק</w:t>
      </w:r>
      <w:r w:rsidRPr="00AF34D6">
        <w:rPr>
          <w:rFonts w:cs="David"/>
          <w:rtl/>
        </w:rPr>
        <w:t>.</w:t>
      </w:r>
    </w:p>
    <w:p w:rsidR="00AF34D6" w:rsidRPr="00AF34D6" w:rsidRDefault="00AF34D6">
      <w:pPr>
        <w:spacing w:line="360" w:lineRule="auto"/>
        <w:jc w:val="both"/>
        <w:rPr>
          <w:rFonts w:cs="David"/>
          <w:b/>
          <w:bCs/>
          <w:sz w:val="20"/>
          <w:szCs w:val="20"/>
          <w:rtl/>
        </w:rPr>
      </w:pPr>
    </w:p>
    <w:p w:rsidR="00A52CBD" w:rsidRDefault="00A52CBD">
      <w:pPr>
        <w:spacing w:line="360" w:lineRule="auto"/>
        <w:jc w:val="both"/>
        <w:rPr>
          <w:rFonts w:cs="David"/>
          <w:rtl/>
        </w:rPr>
      </w:pPr>
      <w:r>
        <w:rPr>
          <w:rFonts w:cs="David" w:hint="cs"/>
          <w:b/>
          <w:bCs/>
          <w:rtl/>
        </w:rPr>
        <w:t xml:space="preserve">המוסד הישראלי לתקינה בחשבונאות - </w:t>
      </w:r>
      <w:r>
        <w:rPr>
          <w:rFonts w:cs="David" w:hint="cs"/>
          <w:rtl/>
        </w:rPr>
        <w:t>גוף שהוקם בשנת 1997 בהסכם בין לשכת רואי חשבון בישראל ורשות ניירות ערך. עם הקמתו של המוסד לתקינה, הועברה הסמכות לפרסום תקינה חשבונאית (תקנים, הבהרות וכיוצ"ב) מלשכת רואי החשבון לגוף זה. במסגרת המוסד הישראלי לתקינה ישנו ייצוג נרחב לגורמים מתחום הכלכלה ושוק ההון בישראל כדוגמת חברות מדווחות, גומי פיקוח ואנשי אקדמיה.</w:t>
      </w:r>
      <w:r w:rsidR="00E960D3">
        <w:rPr>
          <w:rFonts w:cs="David" w:hint="cs"/>
          <w:rtl/>
        </w:rPr>
        <w:t xml:space="preserve"> עם המעבר לדיווח בהתאם לתקני דיווח כספי בינלאומיים (</w:t>
      </w:r>
      <w:r w:rsidR="00E960D3">
        <w:rPr>
          <w:rFonts w:cs="David" w:hint="cs"/>
        </w:rPr>
        <w:t>IFRS</w:t>
      </w:r>
      <w:r w:rsidR="00E960D3">
        <w:rPr>
          <w:rFonts w:cs="David" w:hint="cs"/>
          <w:rtl/>
        </w:rPr>
        <w:t>) פרסומי המוסד הישראלי לתקינה בחשבונאות חלים רק על חברות פרטיות.</w:t>
      </w:r>
    </w:p>
    <w:p w:rsidR="00A52CBD" w:rsidRPr="00AF34D6" w:rsidRDefault="00A52CBD">
      <w:pPr>
        <w:spacing w:line="360" w:lineRule="auto"/>
        <w:jc w:val="both"/>
        <w:rPr>
          <w:rFonts w:cs="David"/>
          <w:b/>
          <w:bCs/>
          <w:sz w:val="20"/>
          <w:szCs w:val="20"/>
          <w:rtl/>
        </w:rPr>
      </w:pPr>
    </w:p>
    <w:p w:rsidR="00A52CBD" w:rsidRDefault="00A52CBD" w:rsidP="00E960D3">
      <w:pPr>
        <w:spacing w:line="360" w:lineRule="auto"/>
        <w:jc w:val="both"/>
        <w:rPr>
          <w:rFonts w:cs="David"/>
          <w:rtl/>
        </w:rPr>
      </w:pPr>
      <w:r>
        <w:rPr>
          <w:rFonts w:cs="David" w:hint="cs"/>
          <w:b/>
          <w:bCs/>
          <w:rtl/>
        </w:rPr>
        <w:t>תקן חשבונאות -</w:t>
      </w:r>
      <w:r>
        <w:rPr>
          <w:rFonts w:cs="David" w:hint="cs"/>
          <w:rtl/>
        </w:rPr>
        <w:t xml:space="preserve"> הפרסומים של המוסד הישראלי לתקינה בחשבונאות נקראים תקן חשבונאי. תקנים אלו באים בנוסף לגילויי הדעת שפרסמה בעבר הלשכה. תקן חשבונאות מספר </w:t>
      </w:r>
      <w:r w:rsidR="00E960D3">
        <w:rPr>
          <w:rFonts w:cs="David" w:hint="cs"/>
          <w:rtl/>
        </w:rPr>
        <w:t xml:space="preserve">31 </w:t>
      </w:r>
      <w:r>
        <w:rPr>
          <w:rFonts w:cs="David" w:hint="cs"/>
          <w:rtl/>
        </w:rPr>
        <w:t xml:space="preserve">בדבר </w:t>
      </w:r>
      <w:r w:rsidR="00E960D3">
        <w:rPr>
          <w:rFonts w:cs="David" w:hint="cs"/>
          <w:rtl/>
        </w:rPr>
        <w:t>תיקון תקן חשבונאות מספר 22, מכשירים פיננסיים גילוי והצגה</w:t>
      </w:r>
      <w:r>
        <w:rPr>
          <w:rFonts w:cs="David" w:hint="cs"/>
          <w:rtl/>
        </w:rPr>
        <w:t xml:space="preserve"> הינו התקן החשבונאי האחרון שפורסם על ידי המוסד הישראלי לתקינה.</w:t>
      </w:r>
    </w:p>
    <w:p w:rsidR="00A52CBD" w:rsidRPr="00AF34D6" w:rsidRDefault="00A52CBD">
      <w:pPr>
        <w:spacing w:line="360" w:lineRule="auto"/>
        <w:jc w:val="both"/>
        <w:rPr>
          <w:rFonts w:cs="David"/>
          <w:b/>
          <w:bCs/>
          <w:sz w:val="20"/>
          <w:szCs w:val="20"/>
          <w:rtl/>
        </w:rPr>
      </w:pPr>
      <w:r w:rsidRPr="00AF34D6">
        <w:rPr>
          <w:rFonts w:cs="David" w:hint="cs"/>
          <w:b/>
          <w:bCs/>
          <w:sz w:val="20"/>
          <w:szCs w:val="20"/>
          <w:rtl/>
        </w:rPr>
        <w:t xml:space="preserve">   </w:t>
      </w:r>
    </w:p>
    <w:p w:rsidR="00A52CBD" w:rsidRDefault="00A52CBD">
      <w:pPr>
        <w:spacing w:line="360" w:lineRule="auto"/>
        <w:jc w:val="both"/>
        <w:rPr>
          <w:rFonts w:cs="David"/>
          <w:rtl/>
        </w:rPr>
      </w:pPr>
      <w:r>
        <w:rPr>
          <w:rFonts w:cs="David" w:hint="cs"/>
          <w:b/>
          <w:bCs/>
          <w:rtl/>
        </w:rPr>
        <w:lastRenderedPageBreak/>
        <w:t xml:space="preserve">מועצת רואי חשבון - </w:t>
      </w:r>
      <w:r>
        <w:rPr>
          <w:rFonts w:cs="David" w:hint="cs"/>
          <w:rtl/>
        </w:rPr>
        <w:t>גוף סטטורי הכפוף למשרד המשפטים הפועל מכוח חוק רואי חשבון, התשט"ו-1955. תפקידי המועצה העיקרים הינם פיקוח על אופן הכשרת ודרכי פעולתם של רואי החשבון בישראל, כשהמועצה אחראית על פיקוח ההתמחות, הענקת רישיונו</w:t>
      </w:r>
      <w:r>
        <w:rPr>
          <w:rFonts w:cs="David" w:hint="eastAsia"/>
          <w:rtl/>
        </w:rPr>
        <w:t>ת</w:t>
      </w:r>
      <w:r>
        <w:rPr>
          <w:rFonts w:cs="David" w:hint="cs"/>
          <w:rtl/>
        </w:rPr>
        <w:t xml:space="preserve"> לעיסוק בראיית</w:t>
      </w:r>
      <w:r w:rsidR="00AF34D6">
        <w:rPr>
          <w:rFonts w:cs="David" w:hint="cs"/>
          <w:rtl/>
        </w:rPr>
        <w:t xml:space="preserve"> </w:t>
      </w:r>
      <w:r>
        <w:rPr>
          <w:rFonts w:cs="David" w:hint="cs"/>
          <w:rtl/>
        </w:rPr>
        <w:t>חשבון ושלילתם, נקיטת צעדי שיפוט משמעתיים ומקצועיים והסדרת הכללים החלים על רואי החשבון ואופן השימוש ברישיונ</w:t>
      </w:r>
      <w:r>
        <w:rPr>
          <w:rFonts w:cs="David" w:hint="eastAsia"/>
          <w:rtl/>
        </w:rPr>
        <w:t>ם</w:t>
      </w:r>
      <w:r>
        <w:rPr>
          <w:rFonts w:cs="David" w:hint="cs"/>
          <w:rtl/>
        </w:rPr>
        <w:t>.</w:t>
      </w:r>
    </w:p>
    <w:p w:rsidR="00164A3E" w:rsidRDefault="00164A3E">
      <w:pPr>
        <w:spacing w:line="360" w:lineRule="auto"/>
        <w:jc w:val="both"/>
        <w:rPr>
          <w:rFonts w:cs="David"/>
          <w:b/>
          <w:bCs/>
          <w:sz w:val="28"/>
          <w:szCs w:val="28"/>
          <w:u w:val="single"/>
          <w:rtl/>
        </w:rPr>
      </w:pPr>
    </w:p>
    <w:p w:rsidR="00A52CBD" w:rsidRDefault="00A52CBD">
      <w:pPr>
        <w:spacing w:line="360" w:lineRule="auto"/>
        <w:jc w:val="both"/>
        <w:rPr>
          <w:rFonts w:cs="David"/>
          <w:rtl/>
        </w:rPr>
      </w:pPr>
      <w:r>
        <w:rPr>
          <w:rFonts w:cs="David" w:hint="cs"/>
          <w:b/>
          <w:bCs/>
          <w:sz w:val="28"/>
          <w:szCs w:val="28"/>
          <w:u w:val="single"/>
          <w:rtl/>
        </w:rPr>
        <w:t>ארצות הברית</w:t>
      </w:r>
    </w:p>
    <w:p w:rsidR="00A52CBD" w:rsidRDefault="00A52CBD">
      <w:pPr>
        <w:spacing w:line="360" w:lineRule="auto"/>
        <w:jc w:val="both"/>
        <w:rPr>
          <w:rFonts w:cs="David"/>
          <w:rtl/>
        </w:rPr>
      </w:pPr>
      <w:r>
        <w:rPr>
          <w:rFonts w:cs="David" w:hint="cs"/>
          <w:b/>
          <w:bCs/>
        </w:rPr>
        <w:t>AICPA</w:t>
      </w:r>
      <w:r>
        <w:rPr>
          <w:rFonts w:cs="David" w:hint="cs"/>
          <w:b/>
          <w:bCs/>
          <w:rtl/>
        </w:rPr>
        <w:t xml:space="preserve"> </w:t>
      </w:r>
      <w:r>
        <w:rPr>
          <w:rFonts w:cs="David" w:hint="cs"/>
          <w:rtl/>
        </w:rPr>
        <w:t>-</w:t>
      </w:r>
      <w:r>
        <w:rPr>
          <w:rFonts w:cs="David"/>
        </w:rPr>
        <w:t xml:space="preserve">American Institute of Certified Public Accountants </w:t>
      </w:r>
      <w:r>
        <w:rPr>
          <w:rFonts w:cs="David" w:hint="cs"/>
          <w:rtl/>
        </w:rPr>
        <w:t xml:space="preserve"> - לשכת רואי חשבון בארה"ב, אשר מהות פעילותה של לשכת רואי חשבון בישראל, דומה לפעילותה של לשכת רואי החשבון בארה"ב.</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SAS</w:t>
      </w:r>
      <w:r>
        <w:rPr>
          <w:rFonts w:cs="David" w:hint="cs"/>
          <w:rtl/>
        </w:rPr>
        <w:t xml:space="preserve"> -</w:t>
      </w:r>
      <w:r>
        <w:rPr>
          <w:rFonts w:cs="David"/>
        </w:rPr>
        <w:t xml:space="preserve">Statement of Audit Standard </w:t>
      </w:r>
      <w:r>
        <w:rPr>
          <w:rFonts w:cs="David" w:hint="cs"/>
          <w:rtl/>
        </w:rPr>
        <w:t xml:space="preserve"> - תקן ביקורת אמריקני המפורסם על ידי לשכת רואי חשבון בארה"ב.</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SOP</w:t>
      </w:r>
      <w:r>
        <w:rPr>
          <w:rFonts w:cs="David" w:hint="cs"/>
          <w:rtl/>
        </w:rPr>
        <w:t xml:space="preserve"> </w:t>
      </w:r>
      <w:r>
        <w:rPr>
          <w:rFonts w:cs="David"/>
        </w:rPr>
        <w:t>Statement of Financial Position -</w:t>
      </w:r>
      <w:r>
        <w:rPr>
          <w:rFonts w:cs="David" w:hint="cs"/>
          <w:rtl/>
        </w:rPr>
        <w:t xml:space="preserve"> - מצג עמדה מחייב המפורסם על ידי לשכת רואי חשבון בארה"ב המהווה מענה לסוגייה חשבונאית שלא טופלה על ידי תקן חשבונאי.</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b/>
          <w:bCs/>
        </w:rPr>
        <w:t>FAS</w:t>
      </w:r>
      <w:r>
        <w:rPr>
          <w:rFonts w:cs="David" w:hint="cs"/>
          <w:b/>
          <w:bCs/>
        </w:rPr>
        <w:t>B</w:t>
      </w:r>
      <w:r>
        <w:rPr>
          <w:rFonts w:cs="David"/>
        </w:rPr>
        <w:tab/>
        <w:t>- Financial Accounting Standard Board -</w:t>
      </w:r>
      <w:r>
        <w:rPr>
          <w:rFonts w:cs="David" w:hint="cs"/>
          <w:rtl/>
        </w:rPr>
        <w:t xml:space="preserve"> המוסד האמריקני לתקינה בחשבונאות שנוסד בשנת 1973 והחליף את ה - </w:t>
      </w:r>
      <w:r>
        <w:rPr>
          <w:rFonts w:cs="David" w:hint="cs"/>
        </w:rPr>
        <w:t>APB</w:t>
      </w:r>
      <w:r>
        <w:rPr>
          <w:rFonts w:cs="David" w:hint="cs"/>
          <w:rtl/>
        </w:rPr>
        <w:t>. גוף מקצועי זה הינו בלתי תלוי ומפרסם את התקנים בחשבונאות</w:t>
      </w:r>
      <w:r>
        <w:rPr>
          <w:rFonts w:cs="David" w:hint="cs"/>
        </w:rPr>
        <w:t xml:space="preserve"> </w:t>
      </w:r>
      <w:r>
        <w:rPr>
          <w:rFonts w:cs="David" w:hint="cs"/>
          <w:rtl/>
        </w:rPr>
        <w:t>(</w:t>
      </w:r>
      <w:r>
        <w:rPr>
          <w:rFonts w:cs="David" w:hint="cs"/>
        </w:rPr>
        <w:t>FAS</w:t>
      </w:r>
      <w:r>
        <w:rPr>
          <w:rFonts w:cs="David" w:hint="cs"/>
          <w:rtl/>
        </w:rPr>
        <w:t>).</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FIN</w:t>
      </w:r>
      <w:r>
        <w:rPr>
          <w:rFonts w:cs="David" w:hint="cs"/>
          <w:rtl/>
        </w:rPr>
        <w:t xml:space="preserve"> -</w:t>
      </w:r>
      <w:r>
        <w:rPr>
          <w:rFonts w:cs="David"/>
        </w:rPr>
        <w:t>F</w:t>
      </w:r>
      <w:r>
        <w:rPr>
          <w:rFonts w:cs="David" w:hint="cs"/>
        </w:rPr>
        <w:t>AS</w:t>
      </w:r>
      <w:r>
        <w:rPr>
          <w:rFonts w:cs="David"/>
        </w:rPr>
        <w:t xml:space="preserve"> Interpretation </w:t>
      </w:r>
      <w:r>
        <w:rPr>
          <w:rFonts w:cs="David" w:hint="cs"/>
          <w:rtl/>
        </w:rPr>
        <w:t xml:space="preserve"> - פרשנות לתקנים של המוסד האמריקני לתקינה בחשבונאות במידה וקיימת אי בהירות באשר לטיפול חשבונאי כפי שנקבע בתקן חשבונאי אמריקני מסויים.</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EI</w:t>
      </w:r>
      <w:r>
        <w:rPr>
          <w:rFonts w:cs="David"/>
          <w:b/>
          <w:bCs/>
        </w:rPr>
        <w:t>T</w:t>
      </w:r>
      <w:r>
        <w:rPr>
          <w:rFonts w:cs="David" w:hint="cs"/>
          <w:b/>
          <w:bCs/>
        </w:rPr>
        <w:t>F</w:t>
      </w:r>
      <w:r>
        <w:rPr>
          <w:rFonts w:cs="David" w:hint="cs"/>
          <w:rtl/>
        </w:rPr>
        <w:t xml:space="preserve"> - </w:t>
      </w:r>
      <w:r>
        <w:rPr>
          <w:rFonts w:cs="David"/>
        </w:rPr>
        <w:t>Emerging Issues Task Force</w:t>
      </w:r>
      <w:r>
        <w:rPr>
          <w:rFonts w:cs="David" w:hint="cs"/>
          <w:rtl/>
        </w:rPr>
        <w:t xml:space="preserve"> - צוות משימה לסוגיות מזדמנות המונה 13 חברים (לרבות משקיף מטעם רשות ניירות הערך האמריקנית). נוסד בשנת 1984 על ידי המוסד האמריקני לתקינה בחשבונאות במגמה לאתר, לדון ולפתור סוגיות חשבונאיות דחופות בהתבסס על פרסומים קיימים.</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rPr>
        <w:t xml:space="preserve"> </w:t>
      </w:r>
      <w:r>
        <w:rPr>
          <w:rFonts w:cs="David" w:hint="cs"/>
          <w:b/>
          <w:bCs/>
        </w:rPr>
        <w:t>APB</w:t>
      </w:r>
      <w:r>
        <w:rPr>
          <w:rFonts w:cs="David" w:hint="cs"/>
          <w:rtl/>
        </w:rPr>
        <w:t>-</w:t>
      </w:r>
      <w:r>
        <w:rPr>
          <w:rFonts w:cs="David" w:hint="cs"/>
          <w:rtl/>
        </w:rPr>
        <w:tab/>
      </w:r>
      <w:r>
        <w:rPr>
          <w:rFonts w:cs="David"/>
        </w:rPr>
        <w:t>Accounting Principle Board</w:t>
      </w:r>
      <w:r>
        <w:rPr>
          <w:rFonts w:cs="David" w:hint="cs"/>
          <w:rtl/>
        </w:rPr>
        <w:t xml:space="preserve"> - הוועדה לעקרונות חשבונאים הינו גוף מקצועי חשבונאי שפעל בארה"ב משנת 1959. תפקידו היה פיתוח עקרונות חשבונאיים (</w:t>
      </w:r>
      <w:r>
        <w:rPr>
          <w:rFonts w:cs="David" w:hint="cs"/>
        </w:rPr>
        <w:t>APB</w:t>
      </w:r>
      <w:r>
        <w:rPr>
          <w:rFonts w:cs="David" w:hint="cs"/>
          <w:rtl/>
        </w:rPr>
        <w:t>). פרסומיו תקפים ובלבד שלא הוחלפו על ידי תקן של ה-</w:t>
      </w:r>
      <w:r>
        <w:rPr>
          <w:rFonts w:cs="David" w:hint="cs"/>
        </w:rPr>
        <w:t>FASB</w:t>
      </w:r>
      <w:r>
        <w:rPr>
          <w:rFonts w:cs="David" w:hint="cs"/>
          <w:rtl/>
        </w:rPr>
        <w:t xml:space="preserve">. גוף זה פורק והוחלף על ידי ה- </w:t>
      </w:r>
      <w:r>
        <w:rPr>
          <w:rFonts w:cs="David" w:hint="cs"/>
        </w:rPr>
        <w:t>FASB</w:t>
      </w:r>
      <w:r>
        <w:rPr>
          <w:rFonts w:cs="David" w:hint="cs"/>
          <w:rtl/>
        </w:rPr>
        <w:t xml:space="preserve"> וזאת לאור הביקורת מצד רשות ניירות ערך האמריקנית.</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rPr>
        <w:t xml:space="preserve"> </w:t>
      </w:r>
      <w:r>
        <w:rPr>
          <w:rFonts w:cs="David" w:hint="cs"/>
          <w:b/>
          <w:bCs/>
        </w:rPr>
        <w:t>AIN</w:t>
      </w:r>
      <w:r>
        <w:rPr>
          <w:rFonts w:cs="David" w:hint="cs"/>
          <w:rtl/>
        </w:rPr>
        <w:t>-</w:t>
      </w:r>
      <w:r>
        <w:rPr>
          <w:rFonts w:cs="David" w:hint="cs"/>
          <w:rtl/>
        </w:rPr>
        <w:tab/>
      </w:r>
      <w:r>
        <w:rPr>
          <w:rFonts w:cs="David"/>
        </w:rPr>
        <w:t>A</w:t>
      </w:r>
      <w:r>
        <w:rPr>
          <w:rFonts w:cs="David" w:hint="cs"/>
        </w:rPr>
        <w:t>P</w:t>
      </w:r>
      <w:r>
        <w:rPr>
          <w:rFonts w:cs="David"/>
        </w:rPr>
        <w:t>B Interpretation</w:t>
      </w:r>
      <w:r>
        <w:rPr>
          <w:rFonts w:cs="David" w:hint="cs"/>
          <w:rtl/>
        </w:rPr>
        <w:t xml:space="preserve"> - פרשנות לתקנים של ה-</w:t>
      </w:r>
      <w:r>
        <w:rPr>
          <w:rFonts w:cs="David" w:hint="cs"/>
        </w:rPr>
        <w:t>AP</w:t>
      </w:r>
      <w:r>
        <w:rPr>
          <w:rFonts w:cs="David"/>
        </w:rPr>
        <w:t>B</w:t>
      </w:r>
      <w:r>
        <w:rPr>
          <w:rFonts w:cs="David" w:hint="cs"/>
          <w:rtl/>
        </w:rPr>
        <w:t xml:space="preserve"> במידה וקיימת אי בהירות באשר לטיפול חשבונאי שנקבע על ידי תקן ה- </w:t>
      </w:r>
      <w:r>
        <w:rPr>
          <w:rFonts w:cs="David" w:hint="cs"/>
        </w:rPr>
        <w:t>APB</w:t>
      </w:r>
      <w:r>
        <w:rPr>
          <w:rFonts w:cs="David" w:hint="cs"/>
          <w:rtl/>
        </w:rPr>
        <w:t>.</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ARB</w:t>
      </w:r>
      <w:r>
        <w:rPr>
          <w:rFonts w:cs="David" w:hint="cs"/>
          <w:rtl/>
        </w:rPr>
        <w:t xml:space="preserve"> - </w:t>
      </w:r>
      <w:r>
        <w:rPr>
          <w:rFonts w:cs="David"/>
        </w:rPr>
        <w:t>Accounting Research Bulletin</w:t>
      </w:r>
      <w:r>
        <w:rPr>
          <w:rFonts w:cs="David" w:hint="cs"/>
          <w:rtl/>
        </w:rPr>
        <w:t xml:space="preserve"> - פרסום של הוועדה למחקר בחשבונאות שפעלה בארה"ב בין השנים 1931 עד 1959. פרסומיו תקפים כל עוד לא הוחלפו על ידי תקן של ה - </w:t>
      </w:r>
      <w:r>
        <w:rPr>
          <w:rFonts w:cs="David" w:hint="cs"/>
        </w:rPr>
        <w:t>FASB</w:t>
      </w:r>
      <w:r>
        <w:rPr>
          <w:rFonts w:cs="David" w:hint="cs"/>
          <w:rtl/>
        </w:rPr>
        <w:t>.</w:t>
      </w:r>
    </w:p>
    <w:p w:rsidR="007204A8" w:rsidRDefault="007204A8" w:rsidP="00AF34D6">
      <w:pPr>
        <w:spacing w:line="360" w:lineRule="auto"/>
        <w:jc w:val="both"/>
        <w:rPr>
          <w:rFonts w:cs="David"/>
          <w:rtl/>
        </w:rPr>
      </w:pPr>
    </w:p>
    <w:p w:rsidR="00A52CBD" w:rsidRDefault="00A52CBD" w:rsidP="00AF34D6">
      <w:pPr>
        <w:spacing w:line="360" w:lineRule="auto"/>
        <w:jc w:val="both"/>
        <w:rPr>
          <w:rFonts w:cs="David"/>
          <w:rtl/>
        </w:rPr>
      </w:pPr>
      <w:r>
        <w:rPr>
          <w:rFonts w:cs="David"/>
        </w:rPr>
        <w:t xml:space="preserve"> </w:t>
      </w:r>
      <w:r>
        <w:rPr>
          <w:rFonts w:cs="David" w:hint="cs"/>
          <w:b/>
          <w:bCs/>
        </w:rPr>
        <w:t>CON</w:t>
      </w:r>
      <w:r>
        <w:rPr>
          <w:rFonts w:cs="David"/>
          <w:b/>
          <w:bCs/>
        </w:rPr>
        <w:t xml:space="preserve"> (</w:t>
      </w:r>
      <w:r>
        <w:rPr>
          <w:rFonts w:cs="David" w:hint="cs"/>
          <w:b/>
          <w:bCs/>
        </w:rPr>
        <w:t>CONCEPT</w:t>
      </w:r>
      <w:r>
        <w:rPr>
          <w:rFonts w:cs="David"/>
          <w:b/>
          <w:bCs/>
        </w:rPr>
        <w:t>)</w:t>
      </w:r>
      <w:r>
        <w:rPr>
          <w:rFonts w:cs="David" w:hint="cs"/>
          <w:rtl/>
        </w:rPr>
        <w:t xml:space="preserve">- מסמכי היסוד החשבונאים של התקינה האמריקנית שנכתבו על ידי המוסד האמריקני לתקינה חשבונאית. מדובר למעשה במסגרת המושגית של המקצוע המעגנת בתוכה הנחות יסוד והגדרות בסיסיות חשבונאיות, נקראת גם - </w:t>
      </w:r>
      <w:r>
        <w:rPr>
          <w:rFonts w:cs="David"/>
        </w:rPr>
        <w:t xml:space="preserve">Statement of Financial Accounting Concept </w:t>
      </w:r>
      <w:r>
        <w:rPr>
          <w:rFonts w:cs="David" w:hint="cs"/>
          <w:rtl/>
        </w:rPr>
        <w:t xml:space="preserve"> (</w:t>
      </w:r>
      <w:r>
        <w:rPr>
          <w:rFonts w:cs="David" w:hint="cs"/>
        </w:rPr>
        <w:t>SFAC</w:t>
      </w:r>
      <w:r>
        <w:rPr>
          <w:rFonts w:cs="David" w:hint="cs"/>
          <w:rtl/>
        </w:rPr>
        <w:t>).</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SEC</w:t>
      </w:r>
      <w:r>
        <w:rPr>
          <w:rFonts w:cs="David" w:hint="cs"/>
          <w:rtl/>
        </w:rPr>
        <w:t xml:space="preserve"> -</w:t>
      </w:r>
      <w:r>
        <w:rPr>
          <w:rFonts w:cs="David" w:hint="cs"/>
          <w:rtl/>
        </w:rPr>
        <w:tab/>
      </w:r>
      <w:r>
        <w:rPr>
          <w:rFonts w:cs="David"/>
        </w:rPr>
        <w:t>Security Exchange Commission</w:t>
      </w:r>
      <w:r>
        <w:rPr>
          <w:rFonts w:cs="David" w:hint="cs"/>
          <w:rtl/>
        </w:rPr>
        <w:t xml:space="preserve"> - רשות ניירות ערך בארה"ב נוסדה בשנת 1933 בעקבות התמוטטות שוק ההון בארה"ב. מדובר בגוף סטטוטורי, עצמאי המתמנה על ידי נשיא ארה"ב ובאישור הסנאט שתפקידה לאכוף את חוקי ניירות ערך ותקנותיו שמטרתם להבטיח שמירה על האינטרס הציבורי וגילוי מלא ונאות של מידע בדוחות הכספיים של חברות נסחרות בבורסה.</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REG S-X</w:t>
      </w:r>
      <w:r>
        <w:rPr>
          <w:rFonts w:cs="David" w:hint="cs"/>
          <w:rtl/>
        </w:rPr>
        <w:t xml:space="preserve"> - תקנות ניירות ערך בארה"ב המפורסמות על ידי ה- </w:t>
      </w:r>
      <w:r>
        <w:rPr>
          <w:rFonts w:cs="David" w:hint="cs"/>
        </w:rPr>
        <w:t>SEC</w:t>
      </w:r>
      <w:r>
        <w:rPr>
          <w:rFonts w:cs="David" w:hint="cs"/>
          <w:rtl/>
        </w:rPr>
        <w:t xml:space="preserve"> הקובעות את דרישות הגילוי הנאות בדוחות הכספיים.</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REG S-K</w:t>
      </w:r>
      <w:r>
        <w:rPr>
          <w:rFonts w:cs="David" w:hint="cs"/>
          <w:rtl/>
        </w:rPr>
        <w:t xml:space="preserve"> - תקנות ניירות ערך בארה"ב המפורסמות על ידי ה- </w:t>
      </w:r>
      <w:r>
        <w:rPr>
          <w:rFonts w:cs="David" w:hint="cs"/>
        </w:rPr>
        <w:t>SEC</w:t>
      </w:r>
      <w:r>
        <w:rPr>
          <w:rFonts w:cs="David" w:hint="cs"/>
          <w:rtl/>
        </w:rPr>
        <w:t xml:space="preserve"> העוסקות</w:t>
      </w:r>
      <w:r w:rsidR="00B72445">
        <w:rPr>
          <w:rFonts w:cs="David" w:hint="cs"/>
          <w:rtl/>
        </w:rPr>
        <w:t xml:space="preserve"> בחלק המשפטי של הדוח התקופתי, בין היתר,</w:t>
      </w:r>
      <w:r>
        <w:rPr>
          <w:rFonts w:cs="David" w:hint="cs"/>
          <w:rtl/>
        </w:rPr>
        <w:t xml:space="preserve"> בדוח הדירקטוריון.</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SAB</w:t>
      </w:r>
      <w:r>
        <w:rPr>
          <w:rFonts w:cs="David" w:hint="cs"/>
          <w:rtl/>
        </w:rPr>
        <w:t xml:space="preserve"> -</w:t>
      </w:r>
      <w:r>
        <w:rPr>
          <w:rFonts w:cs="David" w:hint="cs"/>
          <w:rtl/>
        </w:rPr>
        <w:tab/>
      </w:r>
      <w:r>
        <w:rPr>
          <w:rFonts w:cs="David"/>
        </w:rPr>
        <w:t>Staff Accounting Bulletin</w:t>
      </w:r>
      <w:r>
        <w:rPr>
          <w:rFonts w:cs="David" w:hint="cs"/>
          <w:rtl/>
        </w:rPr>
        <w:t xml:space="preserve"> - פרשנות מקצועית המפורסמת על ידי הסגל המקצועי של הרשות לניירות ערך האמריקנית מתוך מגמה לשקף את עמדות רשות ניירות ערך באשר לסוגיות חשבונאיות שונות.</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PCAOB</w:t>
      </w:r>
      <w:r>
        <w:rPr>
          <w:rFonts w:cs="David" w:hint="cs"/>
          <w:rtl/>
        </w:rPr>
        <w:t xml:space="preserve"> - </w:t>
      </w:r>
      <w:r>
        <w:rPr>
          <w:rFonts w:cs="David"/>
        </w:rPr>
        <w:t>Public Company Accounting Oversight Board</w:t>
      </w:r>
      <w:r>
        <w:rPr>
          <w:rFonts w:cs="David" w:hint="cs"/>
          <w:rtl/>
        </w:rPr>
        <w:t xml:space="preserve"> - הועדה לפיקוח על הביקורת בחברות ציבוריות שהוקמה מכוח חוק סרביינס-אוקסלי (</w:t>
      </w:r>
      <w:r>
        <w:rPr>
          <w:rFonts w:cs="David" w:hint="cs"/>
        </w:rPr>
        <w:t>SARBANES-OXLEY ACT</w:t>
      </w:r>
      <w:r>
        <w:rPr>
          <w:rFonts w:cs="David" w:hint="cs"/>
          <w:rtl/>
        </w:rPr>
        <w:t>) שנחקק לאור השערוריות החשבונאיות הרבות שאירע</w:t>
      </w:r>
      <w:r>
        <w:rPr>
          <w:rFonts w:cs="David" w:hint="eastAsia"/>
          <w:rtl/>
        </w:rPr>
        <w:t>ו</w:t>
      </w:r>
      <w:r>
        <w:rPr>
          <w:rFonts w:cs="David" w:hint="cs"/>
          <w:rtl/>
        </w:rPr>
        <w:t xml:space="preserve"> בארה"ב. תפקידי הועדה לפקח הן על החברות הציבוריות והן על פירמות רואי החשבון המבקרים את החברות הציבוריות וזאת באמצעות פרסום תקני ביקורת ותקני אתיקה מקצועית. סמכות הפיקוח על הועדה ואכיפת החלטותיה ניתנה ל- </w:t>
      </w:r>
      <w:r>
        <w:rPr>
          <w:rFonts w:cs="David" w:hint="cs"/>
        </w:rPr>
        <w:t>SEC</w:t>
      </w:r>
      <w:r>
        <w:rPr>
          <w:rFonts w:cs="David" w:hint="cs"/>
          <w:rtl/>
        </w:rPr>
        <w:t>.</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AS</w:t>
      </w:r>
      <w:r>
        <w:rPr>
          <w:rFonts w:cs="David" w:hint="cs"/>
          <w:rtl/>
        </w:rPr>
        <w:t xml:space="preserve"> -  </w:t>
      </w:r>
      <w:r>
        <w:rPr>
          <w:rFonts w:cs="David" w:hint="cs"/>
        </w:rPr>
        <w:t>A</w:t>
      </w:r>
      <w:r>
        <w:rPr>
          <w:rFonts w:cs="David"/>
        </w:rPr>
        <w:t>udit Standard</w:t>
      </w:r>
      <w:r>
        <w:rPr>
          <w:rFonts w:cs="David" w:hint="cs"/>
          <w:rtl/>
        </w:rPr>
        <w:t xml:space="preserve"> - תקני הביקורת שמפרסם ה- </w:t>
      </w:r>
      <w:r>
        <w:rPr>
          <w:rFonts w:cs="David" w:hint="cs"/>
        </w:rPr>
        <w:t>PCAOB</w:t>
      </w:r>
      <w:r>
        <w:rPr>
          <w:rFonts w:cs="David" w:hint="cs"/>
          <w:rtl/>
        </w:rPr>
        <w:t xml:space="preserve"> המחייב את פירמות רואי החשבון</w:t>
      </w:r>
      <w:r>
        <w:rPr>
          <w:rFonts w:cs="David"/>
        </w:rPr>
        <w:t xml:space="preserve"> </w:t>
      </w:r>
      <w:r>
        <w:rPr>
          <w:rFonts w:cs="David" w:hint="cs"/>
          <w:rtl/>
        </w:rPr>
        <w:t>של החברות הציבוריות אותן הוא מבקר.</w:t>
      </w:r>
      <w:r>
        <w:rPr>
          <w:rFonts w:cs="David"/>
        </w:rPr>
        <w:t xml:space="preserve"> </w:t>
      </w:r>
    </w:p>
    <w:p w:rsidR="00A52CBD" w:rsidRDefault="00A52CBD">
      <w:pPr>
        <w:tabs>
          <w:tab w:val="left" w:pos="926"/>
          <w:tab w:val="left" w:pos="1466"/>
        </w:tabs>
        <w:spacing w:before="240" w:line="360" w:lineRule="auto"/>
        <w:ind w:left="1466" w:hanging="1466"/>
        <w:jc w:val="both"/>
        <w:rPr>
          <w:rFonts w:cs="David"/>
          <w:rtl/>
        </w:rPr>
      </w:pPr>
      <w:r>
        <w:rPr>
          <w:rFonts w:cs="David"/>
          <w:b/>
          <w:bCs/>
          <w:u w:val="single"/>
          <w:rtl/>
        </w:rPr>
        <w:br w:type="page"/>
      </w:r>
      <w:r>
        <w:rPr>
          <w:rFonts w:cs="David" w:hint="cs"/>
          <w:b/>
          <w:bCs/>
          <w:sz w:val="28"/>
          <w:szCs w:val="28"/>
          <w:u w:val="single"/>
          <w:rtl/>
        </w:rPr>
        <w:lastRenderedPageBreak/>
        <w:t>בינלאומי</w:t>
      </w:r>
      <w:r>
        <w:rPr>
          <w:rFonts w:cs="David" w:hint="cs"/>
          <w:sz w:val="28"/>
          <w:szCs w:val="28"/>
          <w:rtl/>
        </w:rPr>
        <w:t xml:space="preserve"> </w:t>
      </w:r>
    </w:p>
    <w:p w:rsidR="00A52CBD" w:rsidRDefault="00A52CBD">
      <w:pPr>
        <w:spacing w:line="360" w:lineRule="auto"/>
        <w:jc w:val="both"/>
        <w:rPr>
          <w:rFonts w:cs="David"/>
          <w:rtl/>
        </w:rPr>
      </w:pPr>
      <w:r>
        <w:rPr>
          <w:rFonts w:cs="David"/>
          <w:b/>
          <w:bCs/>
        </w:rPr>
        <w:t>IASB</w:t>
      </w:r>
      <w:r>
        <w:rPr>
          <w:rFonts w:cs="David"/>
        </w:rPr>
        <w:tab/>
        <w:t>International Accounting Standard Board -</w:t>
      </w:r>
      <w:r>
        <w:rPr>
          <w:rFonts w:cs="David" w:hint="cs"/>
          <w:rtl/>
        </w:rPr>
        <w:t xml:space="preserve"> - הוועדה הבינלאומית לתקינה בחשבונאות שנוסדה בשנת 1973 כדי ליצור אחידות כלל עולמית בכללי חשבונאות. גוף מקצועי בו חברות מעל 100 מדינות ולשכות רואי חשבון בעולם המפרסם תקנים חשבונאים, עד היום פרסמה הוועדה 41 תקנים (</w:t>
      </w:r>
      <w:r>
        <w:rPr>
          <w:rFonts w:cs="David" w:hint="cs"/>
        </w:rPr>
        <w:t>IAS</w:t>
      </w:r>
      <w:r>
        <w:rPr>
          <w:rFonts w:cs="David" w:hint="cs"/>
          <w:rtl/>
        </w:rPr>
        <w:t>) ולאחרונה החל אימוץ של חלקם על ידי המוסד הישראלי לתקינה בחשבונאות כבסיס לכללי החשבונאות בישראל.</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IAS</w:t>
      </w:r>
      <w:r>
        <w:rPr>
          <w:rFonts w:cs="David" w:hint="cs"/>
          <w:rtl/>
        </w:rPr>
        <w:t xml:space="preserve"> - </w:t>
      </w:r>
      <w:r>
        <w:rPr>
          <w:rFonts w:cs="David" w:hint="cs"/>
        </w:rPr>
        <w:t>I</w:t>
      </w:r>
      <w:r>
        <w:rPr>
          <w:rFonts w:cs="David"/>
        </w:rPr>
        <w:t>nternational Accounting Standards</w:t>
      </w:r>
      <w:r>
        <w:rPr>
          <w:rFonts w:cs="David" w:hint="cs"/>
          <w:rtl/>
        </w:rPr>
        <w:t xml:space="preserve"> - תקנים חשבונאים בינלאומיים שפורסמו עד כה על ידי ה- </w:t>
      </w:r>
      <w:r>
        <w:rPr>
          <w:rFonts w:cs="David" w:hint="cs"/>
        </w:rPr>
        <w:t>IASB</w:t>
      </w:r>
      <w:r>
        <w:rPr>
          <w:rFonts w:cs="David" w:hint="cs"/>
          <w:rtl/>
        </w:rPr>
        <w:t xml:space="preserve">. את תקני ה- </w:t>
      </w:r>
      <w:r>
        <w:rPr>
          <w:rFonts w:cs="David" w:hint="cs"/>
        </w:rPr>
        <w:t xml:space="preserve">IAS </w:t>
      </w:r>
      <w:r>
        <w:rPr>
          <w:rFonts w:cs="David" w:hint="cs"/>
          <w:rtl/>
        </w:rPr>
        <w:t xml:space="preserve"> יחליפו בהדרגה ה- </w:t>
      </w:r>
      <w:r>
        <w:rPr>
          <w:rFonts w:cs="David" w:hint="cs"/>
        </w:rPr>
        <w:t>IFRS</w:t>
      </w:r>
      <w:r>
        <w:rPr>
          <w:rFonts w:cs="David" w:hint="cs"/>
          <w:rtl/>
        </w:rPr>
        <w:t xml:space="preserve"> (כללי חשבונאות ודיווח בינלאומיים - </w:t>
      </w:r>
      <w:r>
        <w:rPr>
          <w:rFonts w:cs="David"/>
        </w:rPr>
        <w:t>International Financial Reporting Standard</w:t>
      </w:r>
      <w:r>
        <w:rPr>
          <w:rFonts w:cs="David" w:hint="cs"/>
          <w:rtl/>
        </w:rPr>
        <w:t xml:space="preserve">) אשר יפורסמו אף הם על ידי ה- </w:t>
      </w:r>
      <w:r>
        <w:rPr>
          <w:rFonts w:cs="David" w:hint="cs"/>
        </w:rPr>
        <w:t>IASB</w:t>
      </w:r>
      <w:r>
        <w:rPr>
          <w:rFonts w:cs="David" w:hint="cs"/>
          <w:rtl/>
        </w:rPr>
        <w:t xml:space="preserve">.  </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SIC</w:t>
      </w:r>
      <w:r>
        <w:rPr>
          <w:rFonts w:cs="David" w:hint="cs"/>
          <w:rtl/>
        </w:rPr>
        <w:t xml:space="preserve"> -</w:t>
      </w:r>
      <w:r>
        <w:rPr>
          <w:rFonts w:cs="David" w:hint="cs"/>
          <w:rtl/>
        </w:rPr>
        <w:tab/>
      </w:r>
      <w:r>
        <w:rPr>
          <w:rFonts w:cs="David"/>
        </w:rPr>
        <w:t>Standing Interpretation Committee</w:t>
      </w:r>
      <w:r>
        <w:rPr>
          <w:rFonts w:cs="David" w:hint="cs"/>
          <w:rtl/>
        </w:rPr>
        <w:t xml:space="preserve"> - ועדת משנה של הוועדה הבינלאומית לתקינה בחשבונאות שנוסדה ב- 1997 במטרה לספק פרשנויות והבהרות לסוגיות חשבונאיות, אם קיים חוסר בהירות בטיפול החשבונאי שעוגן בתקן בינלאומי, ה- </w:t>
      </w:r>
      <w:r>
        <w:rPr>
          <w:rFonts w:cs="David" w:hint="cs"/>
        </w:rPr>
        <w:t>IAS</w:t>
      </w:r>
      <w:r>
        <w:rPr>
          <w:rFonts w:cs="David" w:hint="cs"/>
          <w:rtl/>
        </w:rPr>
        <w:t xml:space="preserve">. היות וה- </w:t>
      </w:r>
      <w:r>
        <w:rPr>
          <w:rFonts w:cs="David" w:hint="cs"/>
        </w:rPr>
        <w:t>IAS</w:t>
      </w:r>
      <w:r>
        <w:rPr>
          <w:rFonts w:cs="David" w:hint="cs"/>
          <w:rtl/>
        </w:rPr>
        <w:t xml:space="preserve"> כאמור אמורים להתבטל, הפרשנויות ל- </w:t>
      </w:r>
      <w:r>
        <w:rPr>
          <w:rFonts w:cs="David" w:hint="cs"/>
        </w:rPr>
        <w:t>IFRS</w:t>
      </w:r>
      <w:r>
        <w:rPr>
          <w:rFonts w:cs="David" w:hint="cs"/>
          <w:rtl/>
        </w:rPr>
        <w:t xml:space="preserve"> יקראו </w:t>
      </w:r>
      <w:r>
        <w:rPr>
          <w:rFonts w:cs="David" w:hint="cs"/>
        </w:rPr>
        <w:t>IFRIC</w:t>
      </w:r>
      <w:r>
        <w:rPr>
          <w:rFonts w:cs="David" w:hint="cs"/>
          <w:rtl/>
        </w:rPr>
        <w:t xml:space="preserve"> (ועדה לפרשנויות תקני חשבונאות בינלאומים - </w:t>
      </w:r>
      <w:r>
        <w:rPr>
          <w:rFonts w:cs="David"/>
        </w:rPr>
        <w:t>International Financial Reporting Interpretations Committee</w:t>
      </w:r>
      <w:r>
        <w:rPr>
          <w:rFonts w:cs="David" w:hint="cs"/>
          <w:rtl/>
        </w:rPr>
        <w:t>).</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IFA</w:t>
      </w:r>
      <w:r>
        <w:rPr>
          <w:rFonts w:cs="David"/>
          <w:b/>
          <w:bCs/>
        </w:rPr>
        <w:t>C</w:t>
      </w:r>
      <w:r>
        <w:rPr>
          <w:rFonts w:cs="David"/>
        </w:rPr>
        <w:tab/>
        <w:t xml:space="preserve"> International Federation of Accountants -</w:t>
      </w:r>
      <w:r>
        <w:rPr>
          <w:rFonts w:cs="David" w:hint="cs"/>
          <w:rtl/>
        </w:rPr>
        <w:t>- הפדרציה הבינלאומית של רואי החשבון שנוסדה בשנת 1977 במינכן כגוף ללא מטרת רווח א-פוליטי א-ממשלתי בינלאומי שמטרתו לפתח ולהטמיע את מקצוע החשבונאות ברמה הבינלאומית וליצור אחידות בכללי ההתנהגות המקצועית. קובע את תקני ביקורת (</w:t>
      </w:r>
      <w:r>
        <w:rPr>
          <w:rFonts w:cs="David" w:hint="cs"/>
        </w:rPr>
        <w:t>ISA</w:t>
      </w:r>
      <w:r>
        <w:rPr>
          <w:rFonts w:cs="David" w:hint="cs"/>
          <w:rtl/>
        </w:rPr>
        <w:t>).</w:t>
      </w:r>
    </w:p>
    <w:p w:rsidR="00A52CBD" w:rsidRDefault="00A52CBD">
      <w:pPr>
        <w:spacing w:line="360" w:lineRule="auto"/>
        <w:jc w:val="both"/>
        <w:rPr>
          <w:rFonts w:cs="David"/>
          <w:rtl/>
        </w:rPr>
      </w:pPr>
    </w:p>
    <w:p w:rsidR="00A52CBD" w:rsidRDefault="00A52CBD">
      <w:pPr>
        <w:spacing w:line="360" w:lineRule="auto"/>
        <w:jc w:val="both"/>
        <w:rPr>
          <w:rFonts w:cs="David"/>
          <w:rtl/>
        </w:rPr>
      </w:pPr>
      <w:r>
        <w:rPr>
          <w:rFonts w:cs="David" w:hint="cs"/>
          <w:b/>
          <w:bCs/>
        </w:rPr>
        <w:t>ISA</w:t>
      </w:r>
      <w:r>
        <w:rPr>
          <w:rFonts w:cs="David" w:hint="cs"/>
          <w:rtl/>
        </w:rPr>
        <w:t xml:space="preserve"> - </w:t>
      </w:r>
      <w:r>
        <w:rPr>
          <w:rFonts w:cs="David" w:hint="cs"/>
        </w:rPr>
        <w:t>I</w:t>
      </w:r>
      <w:r>
        <w:rPr>
          <w:rFonts w:cs="David"/>
        </w:rPr>
        <w:t>nternational Audit Standards</w:t>
      </w:r>
      <w:r>
        <w:rPr>
          <w:rFonts w:cs="David" w:hint="cs"/>
          <w:rtl/>
        </w:rPr>
        <w:t xml:space="preserve"> - תקני הביקורת הבינלאומים המפורסמים על ידי ה- </w:t>
      </w:r>
      <w:r>
        <w:rPr>
          <w:rFonts w:cs="David" w:hint="cs"/>
        </w:rPr>
        <w:t>IFAC</w:t>
      </w:r>
      <w:r>
        <w:rPr>
          <w:rFonts w:cs="David" w:hint="cs"/>
          <w:rtl/>
        </w:rPr>
        <w:t>.</w:t>
      </w:r>
    </w:p>
    <w:p w:rsidR="00A52CBD" w:rsidRDefault="00A52CBD">
      <w:pPr>
        <w:tabs>
          <w:tab w:val="left" w:pos="926"/>
          <w:tab w:val="left" w:pos="1466"/>
        </w:tabs>
        <w:spacing w:before="240" w:line="360" w:lineRule="auto"/>
        <w:ind w:left="1466" w:hanging="1466"/>
        <w:jc w:val="both"/>
        <w:rPr>
          <w:rFonts w:cs="David"/>
          <w:rtl/>
        </w:rPr>
      </w:pPr>
    </w:p>
    <w:p w:rsidR="00A52CBD" w:rsidRDefault="00A52CBD">
      <w:pPr>
        <w:spacing w:line="360" w:lineRule="auto"/>
        <w:jc w:val="both"/>
        <w:rPr>
          <w:rFonts w:cs="David"/>
          <w:rtl/>
        </w:rPr>
      </w:pPr>
    </w:p>
    <w:p w:rsidR="00A52CBD" w:rsidRDefault="00A52CBD">
      <w:pPr>
        <w:spacing w:line="360" w:lineRule="auto"/>
        <w:jc w:val="both"/>
        <w:rPr>
          <w:rFonts w:cs="David"/>
          <w:rtl/>
        </w:rPr>
      </w:pPr>
    </w:p>
    <w:p w:rsidR="00A52CBD" w:rsidRDefault="00A52CBD">
      <w:pPr>
        <w:spacing w:line="360" w:lineRule="auto"/>
        <w:jc w:val="both"/>
        <w:rPr>
          <w:rFonts w:cs="David"/>
          <w:rtl/>
        </w:rPr>
      </w:pPr>
    </w:p>
    <w:p w:rsidR="00A52CBD" w:rsidRDefault="00A52CBD">
      <w:pPr>
        <w:spacing w:line="360" w:lineRule="auto"/>
        <w:jc w:val="both"/>
        <w:rPr>
          <w:rFonts w:cs="David"/>
          <w:rtl/>
        </w:rPr>
      </w:pPr>
    </w:p>
    <w:p w:rsidR="00A52CBD" w:rsidRDefault="00A52CBD">
      <w:pPr>
        <w:spacing w:line="360" w:lineRule="auto"/>
        <w:jc w:val="both"/>
        <w:rPr>
          <w:rFonts w:cs="David"/>
          <w:rtl/>
        </w:rPr>
      </w:pPr>
    </w:p>
    <w:p w:rsidR="00A52CBD" w:rsidRDefault="00A52CBD">
      <w:pPr>
        <w:spacing w:line="360" w:lineRule="auto"/>
        <w:jc w:val="both"/>
        <w:rPr>
          <w:rFonts w:cs="David"/>
          <w:rtl/>
        </w:rPr>
      </w:pPr>
    </w:p>
    <w:p w:rsidR="00A52CBD" w:rsidRDefault="00A52CBD">
      <w:pPr>
        <w:spacing w:line="360" w:lineRule="auto"/>
        <w:jc w:val="both"/>
        <w:rPr>
          <w:rFonts w:cs="David"/>
          <w:sz w:val="16"/>
          <w:szCs w:val="16"/>
          <w:rtl/>
        </w:rPr>
      </w:pPr>
    </w:p>
    <w:sectPr w:rsidR="00A52CBD">
      <w:footerReference w:type="even"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931" w:rsidRDefault="00261931">
      <w:r>
        <w:separator/>
      </w:r>
    </w:p>
  </w:endnote>
  <w:endnote w:type="continuationSeparator" w:id="0">
    <w:p w:rsidR="00261931" w:rsidRDefault="0026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AC" w:rsidRDefault="00734AAC">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734AAC" w:rsidRDefault="00734AA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AC" w:rsidRDefault="00734AAC">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A2740F">
      <w:rPr>
        <w:rStyle w:val="a4"/>
        <w:noProof/>
        <w:rtl/>
      </w:rPr>
      <w:t>1</w:t>
    </w:r>
    <w:r>
      <w:rPr>
        <w:rStyle w:val="a4"/>
        <w:rtl/>
      </w:rPr>
      <w:fldChar w:fldCharType="end"/>
    </w:r>
  </w:p>
  <w:p w:rsidR="00734AAC" w:rsidRDefault="00734A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931" w:rsidRDefault="00261931">
      <w:r>
        <w:separator/>
      </w:r>
    </w:p>
  </w:footnote>
  <w:footnote w:type="continuationSeparator" w:id="0">
    <w:p w:rsidR="00261931" w:rsidRDefault="00261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D6"/>
    <w:rsid w:val="000C74ED"/>
    <w:rsid w:val="00164A3E"/>
    <w:rsid w:val="00185490"/>
    <w:rsid w:val="00261931"/>
    <w:rsid w:val="00323C06"/>
    <w:rsid w:val="00464900"/>
    <w:rsid w:val="006B7126"/>
    <w:rsid w:val="007204A8"/>
    <w:rsid w:val="00734AAC"/>
    <w:rsid w:val="009C7E64"/>
    <w:rsid w:val="00A2740F"/>
    <w:rsid w:val="00A52CBD"/>
    <w:rsid w:val="00AF34D6"/>
    <w:rsid w:val="00B1335F"/>
    <w:rsid w:val="00B72445"/>
    <w:rsid w:val="00C045FD"/>
    <w:rsid w:val="00C17CBF"/>
    <w:rsid w:val="00CA3DCA"/>
    <w:rsid w:val="00D222A2"/>
    <w:rsid w:val="00D85736"/>
    <w:rsid w:val="00E46647"/>
    <w:rsid w:val="00E96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F4126C-12D7-491D-9CA0-2598589D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pPr>
      <w:keepNext/>
      <w:spacing w:line="360" w:lineRule="auto"/>
      <w:jc w:val="center"/>
      <w:outlineLvl w:val="0"/>
    </w:pPr>
    <w:rPr>
      <w:rFonts w:cs="David"/>
      <w:b/>
      <w:bCs/>
      <w:sz w:val="54"/>
      <w:szCs w:val="52"/>
      <w:u w:val="single"/>
    </w:rPr>
  </w:style>
  <w:style w:type="paragraph" w:styleId="2">
    <w:name w:val="heading 2"/>
    <w:basedOn w:val="a"/>
    <w:next w:val="a"/>
    <w:qFormat/>
    <w:pPr>
      <w:keepNext/>
      <w:spacing w:line="360" w:lineRule="auto"/>
      <w:jc w:val="center"/>
      <w:outlineLvl w:val="1"/>
    </w:pPr>
    <w:rPr>
      <w:rFonts w:cs="David"/>
      <w:b/>
      <w:bCs/>
      <w:sz w:val="40"/>
      <w:szCs w:val="3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character" w:customStyle="1" w:styleId="content1">
    <w:name w:val="content1"/>
    <w:basedOn w:val="a0"/>
    <w:rPr>
      <w:rFonts w:ascii="Arial" w:hAnsi="Arial" w:cs="Arial" w:hint="default"/>
      <w:color w:val="000000"/>
      <w:sz w:val="20"/>
      <w:szCs w:val="20"/>
    </w:rPr>
  </w:style>
  <w:style w:type="paragraph" w:styleId="a5">
    <w:name w:val="header"/>
    <w:basedOn w:val="a"/>
    <w:rsid w:val="00AF34D6"/>
    <w:pPr>
      <w:tabs>
        <w:tab w:val="center" w:pos="4153"/>
        <w:tab w:val="right" w:pos="8306"/>
      </w:tabs>
    </w:pPr>
  </w:style>
  <w:style w:type="paragraph" w:styleId="a6">
    <w:name w:val="Balloon Text"/>
    <w:basedOn w:val="a"/>
    <w:link w:val="a7"/>
    <w:semiHidden/>
    <w:unhideWhenUsed/>
    <w:rsid w:val="00A2740F"/>
    <w:rPr>
      <w:rFonts w:ascii="Tahoma" w:hAnsi="Tahoma" w:cs="Tahoma"/>
      <w:sz w:val="18"/>
      <w:szCs w:val="18"/>
    </w:rPr>
  </w:style>
  <w:style w:type="character" w:customStyle="1" w:styleId="a7">
    <w:name w:val="טקסט בלונים תו"/>
    <w:basedOn w:val="a0"/>
    <w:link w:val="a6"/>
    <w:semiHidden/>
    <w:rsid w:val="00A2740F"/>
    <w:rPr>
      <w:rFonts w:ascii="Tahoma"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40043">
      <w:bodyDiv w:val="1"/>
      <w:marLeft w:val="0"/>
      <w:marRight w:val="0"/>
      <w:marTop w:val="0"/>
      <w:marBottom w:val="0"/>
      <w:divBdr>
        <w:top w:val="none" w:sz="0" w:space="0" w:color="auto"/>
        <w:left w:val="none" w:sz="0" w:space="0" w:color="auto"/>
        <w:bottom w:val="none" w:sz="0" w:space="0" w:color="auto"/>
        <w:right w:val="none" w:sz="0" w:space="0" w:color="auto"/>
      </w:divBdr>
      <w:divsChild>
        <w:div w:id="14883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D7EE0-36CE-417B-8094-4DFF3AD06B88}">
  <ds:schemaRefs>
    <ds:schemaRef ds:uri="http://schemas.microsoft.com/sharepoint/v3/contenttype/forms"/>
  </ds:schemaRefs>
</ds:datastoreItem>
</file>

<file path=customXml/itemProps2.xml><?xml version="1.0" encoding="utf-8"?>
<ds:datastoreItem xmlns:ds="http://schemas.openxmlformats.org/officeDocument/2006/customXml" ds:itemID="{F2AB370D-110A-4926-B01A-AE865043A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68F460-EB17-460C-BC3A-3F22B32F2D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5815</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גופים ופרסומים - חשבונאות וביקורת - בארץ ובעולם</vt:lpstr>
      <vt:lpstr>לשכפל לשיעור הראשון בתאריך 19.09.2008</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גופים ופרסומים - חשבונאות וביקורת - בארץ ובעולם</dc:title>
  <dc:creator>elyashiv burak</dc:creator>
  <cp:keywords>מוסדות;ביקורת;גופים;חשבונאות</cp:keywords>
  <cp:lastModifiedBy>רחל</cp:lastModifiedBy>
  <cp:revision>2</cp:revision>
  <cp:lastPrinted>2014-09-13T20:13:00Z</cp:lastPrinted>
  <dcterms:created xsi:type="dcterms:W3CDTF">2014-09-13T20:17:00Z</dcterms:created>
  <dcterms:modified xsi:type="dcterms:W3CDTF">2014-09-13T20:17:00Z</dcterms:modified>
</cp:coreProperties>
</file>