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3A1" w:rsidRDefault="000A63A1" w:rsidP="00D06AA8">
      <w:pPr>
        <w:spacing w:after="120" w:line="360" w:lineRule="auto"/>
        <w:jc w:val="center"/>
        <w:rPr>
          <w:rFonts w:ascii="David" w:hAnsi="David" w:cs="David"/>
          <w:b/>
          <w:bCs/>
          <w:sz w:val="24"/>
          <w:szCs w:val="24"/>
          <w:u w:val="single"/>
          <w:rtl/>
        </w:rPr>
      </w:pPr>
      <w:r>
        <w:rPr>
          <w:rFonts w:ascii="David" w:hAnsi="David" w:cs="David"/>
          <w:b/>
          <w:bCs/>
          <w:sz w:val="24"/>
          <w:szCs w:val="24"/>
          <w:u w:val="single"/>
          <w:rtl/>
        </w:rPr>
        <w:t xml:space="preserve">ביקורת מתקדמת </w:t>
      </w:r>
      <w:r>
        <w:rPr>
          <w:rFonts w:ascii="David" w:hAnsi="David" w:cs="David" w:hint="cs"/>
          <w:b/>
          <w:bCs/>
          <w:sz w:val="24"/>
          <w:szCs w:val="24"/>
          <w:u w:val="single"/>
          <w:rtl/>
        </w:rPr>
        <w:t>ב</w:t>
      </w:r>
      <w:r>
        <w:rPr>
          <w:rFonts w:ascii="David" w:hAnsi="David" w:cs="David"/>
          <w:b/>
          <w:bCs/>
          <w:sz w:val="24"/>
          <w:szCs w:val="24"/>
          <w:u w:val="single"/>
          <w:rtl/>
        </w:rPr>
        <w:t xml:space="preserve">' - שיעור </w:t>
      </w:r>
      <w:r w:rsidR="00C804E6">
        <w:rPr>
          <w:rFonts w:ascii="David" w:hAnsi="David" w:cs="David" w:hint="cs"/>
          <w:b/>
          <w:bCs/>
          <w:sz w:val="24"/>
          <w:szCs w:val="24"/>
          <w:u w:val="single"/>
          <w:rtl/>
        </w:rPr>
        <w:t>2</w:t>
      </w:r>
    </w:p>
    <w:p w:rsidR="00937322" w:rsidRPr="00805C1A" w:rsidRDefault="00937322" w:rsidP="00D06AA8">
      <w:pPr>
        <w:spacing w:after="120" w:line="360" w:lineRule="auto"/>
        <w:rPr>
          <w:rFonts w:ascii="David" w:hAnsi="David" w:cs="David" w:hint="cs"/>
          <w:b/>
          <w:bCs/>
          <w:color w:val="2F5496" w:themeColor="accent5" w:themeShade="BF"/>
          <w:sz w:val="28"/>
          <w:szCs w:val="28"/>
          <w:u w:val="single"/>
          <w:rtl/>
        </w:rPr>
      </w:pPr>
      <w:r w:rsidRPr="00805C1A">
        <w:rPr>
          <w:rFonts w:ascii="David" w:hAnsi="David" w:cs="David" w:hint="cs"/>
          <w:b/>
          <w:bCs/>
          <w:color w:val="2F5496" w:themeColor="accent5" w:themeShade="BF"/>
          <w:sz w:val="28"/>
          <w:szCs w:val="28"/>
          <w:u w:val="single"/>
          <w:rtl/>
        </w:rPr>
        <w:t xml:space="preserve">ביקורת דו"חות כספיים </w:t>
      </w:r>
    </w:p>
    <w:p w:rsidR="00226E9D" w:rsidRPr="002141B4" w:rsidRDefault="00937322" w:rsidP="00D06AA8">
      <w:pPr>
        <w:spacing w:after="120" w:line="360" w:lineRule="auto"/>
        <w:rPr>
          <w:rFonts w:ascii="David" w:hAnsi="David" w:cs="David"/>
          <w:b/>
          <w:bCs/>
          <w:color w:val="2F5496" w:themeColor="accent5" w:themeShade="BF"/>
          <w:sz w:val="28"/>
          <w:szCs w:val="28"/>
          <w:u w:val="single"/>
          <w:rtl/>
        </w:rPr>
      </w:pPr>
      <w:r w:rsidRPr="00805C1A">
        <w:rPr>
          <w:rFonts w:ascii="David" w:hAnsi="David" w:cs="David" w:hint="cs"/>
          <w:b/>
          <w:bCs/>
          <w:color w:val="2F5496" w:themeColor="accent5" w:themeShade="BF"/>
          <w:sz w:val="28"/>
          <w:szCs w:val="28"/>
          <w:u w:val="single"/>
          <w:rtl/>
        </w:rPr>
        <w:t xml:space="preserve">ביקורות אפקטיביות , רכיבי הבקרה הפנימית על הדיווח הכספי </w:t>
      </w:r>
      <w:r w:rsidR="00805C1A">
        <w:rPr>
          <w:rFonts w:ascii="David" w:hAnsi="David" w:cs="David" w:hint="cs"/>
          <w:b/>
          <w:bCs/>
          <w:color w:val="2F5496" w:themeColor="accent5" w:themeShade="BF"/>
          <w:sz w:val="28"/>
          <w:szCs w:val="28"/>
          <w:u w:val="single"/>
          <w:rtl/>
        </w:rPr>
        <w:t>.</w:t>
      </w:r>
      <w:r w:rsidR="00226E9D">
        <w:rPr>
          <w:rFonts w:ascii="David" w:hAnsi="David" w:cs="David" w:hint="cs"/>
          <w:b/>
          <w:bCs/>
          <w:noProof/>
          <w:color w:val="4472C4" w:themeColor="accent5"/>
          <w:sz w:val="28"/>
          <w:szCs w:val="28"/>
          <w:u w:val="single"/>
          <w:rtl/>
        </w:rPr>
        <w:drawing>
          <wp:anchor distT="0" distB="0" distL="114300" distR="114300" simplePos="0" relativeHeight="251658240" behindDoc="0" locked="0" layoutInCell="1" allowOverlap="1" wp14:anchorId="27D37F99" wp14:editId="77D2EBC4">
            <wp:simplePos x="0" y="0"/>
            <wp:positionH relativeFrom="margin">
              <wp:align>center</wp:align>
            </wp:positionH>
            <wp:positionV relativeFrom="paragraph">
              <wp:posOffset>268301</wp:posOffset>
            </wp:positionV>
            <wp:extent cx="6284015" cy="7513955"/>
            <wp:effectExtent l="0" t="0" r="0" b="10795"/>
            <wp:wrapNone/>
            <wp:docPr id="3" name="דיאגרמה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937322" w:rsidRDefault="00937322" w:rsidP="00D06AA8">
      <w:pPr>
        <w:spacing w:after="120" w:line="360" w:lineRule="auto"/>
        <w:rPr>
          <w:rFonts w:ascii="David" w:hAnsi="David" w:cs="David"/>
          <w:b/>
          <w:bCs/>
          <w:color w:val="2F5496" w:themeColor="accent5" w:themeShade="BF"/>
          <w:sz w:val="28"/>
          <w:szCs w:val="28"/>
          <w:u w:val="single"/>
          <w:rtl/>
        </w:rPr>
      </w:pPr>
      <w:r w:rsidRPr="00805C1A">
        <w:rPr>
          <w:rFonts w:ascii="David" w:hAnsi="David" w:cs="David" w:hint="cs"/>
          <w:b/>
          <w:bCs/>
          <w:color w:val="2F5496" w:themeColor="accent5" w:themeShade="BF"/>
          <w:sz w:val="28"/>
          <w:szCs w:val="28"/>
          <w:u w:val="single"/>
          <w:rtl/>
        </w:rPr>
        <w:t xml:space="preserve"> </w:t>
      </w:r>
    </w:p>
    <w:p w:rsidR="00897C33" w:rsidRDefault="00897C33" w:rsidP="00D06AA8">
      <w:pPr>
        <w:spacing w:after="120" w:line="360" w:lineRule="auto"/>
        <w:rPr>
          <w:rFonts w:ascii="David" w:hAnsi="David" w:cs="David"/>
          <w:b/>
          <w:bCs/>
          <w:color w:val="2F5496" w:themeColor="accent5" w:themeShade="BF"/>
          <w:sz w:val="28"/>
          <w:szCs w:val="28"/>
          <w:u w:val="single"/>
          <w:rtl/>
        </w:rPr>
      </w:pPr>
    </w:p>
    <w:p w:rsidR="00897C33" w:rsidRDefault="00897C33" w:rsidP="00D06AA8">
      <w:pPr>
        <w:spacing w:after="120" w:line="360" w:lineRule="auto"/>
        <w:rPr>
          <w:rFonts w:ascii="David" w:hAnsi="David" w:cs="David"/>
          <w:b/>
          <w:bCs/>
          <w:color w:val="2F5496" w:themeColor="accent5" w:themeShade="BF"/>
          <w:sz w:val="28"/>
          <w:szCs w:val="28"/>
          <w:u w:val="single"/>
          <w:rtl/>
        </w:rPr>
      </w:pPr>
    </w:p>
    <w:p w:rsidR="00897C33" w:rsidRDefault="00897C33" w:rsidP="00D06AA8">
      <w:pPr>
        <w:spacing w:after="120" w:line="360" w:lineRule="auto"/>
        <w:rPr>
          <w:rFonts w:ascii="David" w:hAnsi="David" w:cs="David"/>
          <w:b/>
          <w:bCs/>
          <w:color w:val="2F5496" w:themeColor="accent5" w:themeShade="BF"/>
          <w:sz w:val="28"/>
          <w:szCs w:val="28"/>
          <w:u w:val="single"/>
          <w:rtl/>
        </w:rPr>
      </w:pPr>
    </w:p>
    <w:p w:rsidR="00897C33" w:rsidRDefault="00897C33" w:rsidP="00D06AA8">
      <w:pPr>
        <w:spacing w:after="120" w:line="360" w:lineRule="auto"/>
        <w:rPr>
          <w:rFonts w:ascii="David" w:hAnsi="David" w:cs="David"/>
          <w:b/>
          <w:bCs/>
          <w:color w:val="2F5496" w:themeColor="accent5" w:themeShade="BF"/>
          <w:sz w:val="28"/>
          <w:szCs w:val="28"/>
          <w:u w:val="single"/>
          <w:rtl/>
        </w:rPr>
      </w:pPr>
    </w:p>
    <w:p w:rsidR="00897C33" w:rsidRDefault="00897C33" w:rsidP="00D06AA8">
      <w:pPr>
        <w:spacing w:after="120" w:line="360" w:lineRule="auto"/>
        <w:rPr>
          <w:rFonts w:ascii="David" w:hAnsi="David" w:cs="David"/>
          <w:b/>
          <w:bCs/>
          <w:color w:val="2F5496" w:themeColor="accent5" w:themeShade="BF"/>
          <w:sz w:val="28"/>
          <w:szCs w:val="28"/>
          <w:u w:val="single"/>
          <w:rtl/>
        </w:rPr>
      </w:pPr>
    </w:p>
    <w:p w:rsidR="00897C33" w:rsidRDefault="00897C33" w:rsidP="00D06AA8">
      <w:pPr>
        <w:spacing w:after="120" w:line="360" w:lineRule="auto"/>
        <w:rPr>
          <w:rFonts w:ascii="David" w:hAnsi="David" w:cs="David"/>
          <w:b/>
          <w:bCs/>
          <w:color w:val="2F5496" w:themeColor="accent5" w:themeShade="BF"/>
          <w:sz w:val="28"/>
          <w:szCs w:val="28"/>
          <w:u w:val="single"/>
          <w:rtl/>
        </w:rPr>
      </w:pPr>
    </w:p>
    <w:p w:rsidR="00897C33" w:rsidRDefault="00897C33" w:rsidP="00D06AA8">
      <w:pPr>
        <w:spacing w:after="120" w:line="360" w:lineRule="auto"/>
        <w:rPr>
          <w:rFonts w:ascii="David" w:hAnsi="David" w:cs="David"/>
          <w:b/>
          <w:bCs/>
          <w:color w:val="2F5496" w:themeColor="accent5" w:themeShade="BF"/>
          <w:sz w:val="28"/>
          <w:szCs w:val="28"/>
          <w:u w:val="single"/>
          <w:rtl/>
        </w:rPr>
      </w:pPr>
    </w:p>
    <w:p w:rsidR="00897C33" w:rsidRDefault="00897C33" w:rsidP="00D06AA8">
      <w:pPr>
        <w:spacing w:after="120" w:line="360" w:lineRule="auto"/>
        <w:rPr>
          <w:rFonts w:ascii="David" w:hAnsi="David" w:cs="David"/>
          <w:b/>
          <w:bCs/>
          <w:color w:val="2F5496" w:themeColor="accent5" w:themeShade="BF"/>
          <w:sz w:val="28"/>
          <w:szCs w:val="28"/>
          <w:u w:val="single"/>
          <w:rtl/>
        </w:rPr>
      </w:pPr>
    </w:p>
    <w:p w:rsidR="00897C33" w:rsidRDefault="00897C33" w:rsidP="00D06AA8">
      <w:pPr>
        <w:spacing w:after="120" w:line="360" w:lineRule="auto"/>
        <w:rPr>
          <w:rFonts w:ascii="David" w:hAnsi="David" w:cs="David"/>
          <w:b/>
          <w:bCs/>
          <w:color w:val="2F5496" w:themeColor="accent5" w:themeShade="BF"/>
          <w:sz w:val="28"/>
          <w:szCs w:val="28"/>
          <w:u w:val="single"/>
          <w:rtl/>
        </w:rPr>
      </w:pPr>
    </w:p>
    <w:p w:rsidR="00897C33" w:rsidRDefault="00897C33" w:rsidP="00D06AA8">
      <w:pPr>
        <w:spacing w:after="120" w:line="360" w:lineRule="auto"/>
        <w:rPr>
          <w:rFonts w:ascii="David" w:hAnsi="David" w:cs="David"/>
          <w:b/>
          <w:bCs/>
          <w:color w:val="2F5496" w:themeColor="accent5" w:themeShade="BF"/>
          <w:sz w:val="28"/>
          <w:szCs w:val="28"/>
          <w:u w:val="single"/>
          <w:rtl/>
        </w:rPr>
      </w:pPr>
    </w:p>
    <w:p w:rsidR="00897C33" w:rsidRDefault="00897C33" w:rsidP="00D06AA8">
      <w:pPr>
        <w:spacing w:after="120" w:line="360" w:lineRule="auto"/>
        <w:rPr>
          <w:rFonts w:ascii="David" w:hAnsi="David" w:cs="David"/>
          <w:b/>
          <w:bCs/>
          <w:color w:val="2F5496" w:themeColor="accent5" w:themeShade="BF"/>
          <w:sz w:val="28"/>
          <w:szCs w:val="28"/>
          <w:u w:val="single"/>
          <w:rtl/>
        </w:rPr>
      </w:pPr>
    </w:p>
    <w:p w:rsidR="00897C33" w:rsidRDefault="00897C33" w:rsidP="00D06AA8">
      <w:pPr>
        <w:spacing w:after="120" w:line="360" w:lineRule="auto"/>
        <w:rPr>
          <w:rFonts w:ascii="David" w:hAnsi="David" w:cs="David"/>
          <w:b/>
          <w:bCs/>
          <w:color w:val="2F5496" w:themeColor="accent5" w:themeShade="BF"/>
          <w:sz w:val="28"/>
          <w:szCs w:val="28"/>
          <w:u w:val="single"/>
          <w:rtl/>
        </w:rPr>
      </w:pPr>
    </w:p>
    <w:p w:rsidR="00897C33" w:rsidRDefault="00897C33" w:rsidP="00D06AA8">
      <w:pPr>
        <w:spacing w:after="120" w:line="360" w:lineRule="auto"/>
        <w:rPr>
          <w:rFonts w:ascii="David" w:hAnsi="David" w:cs="David"/>
          <w:b/>
          <w:bCs/>
          <w:color w:val="2F5496" w:themeColor="accent5" w:themeShade="BF"/>
          <w:sz w:val="28"/>
          <w:szCs w:val="28"/>
          <w:u w:val="single"/>
          <w:rtl/>
        </w:rPr>
      </w:pPr>
    </w:p>
    <w:p w:rsidR="00897C33" w:rsidRDefault="00897C33" w:rsidP="00D06AA8">
      <w:pPr>
        <w:spacing w:after="120" w:line="360" w:lineRule="auto"/>
        <w:rPr>
          <w:rFonts w:ascii="David" w:hAnsi="David" w:cs="David"/>
          <w:b/>
          <w:bCs/>
          <w:color w:val="2F5496" w:themeColor="accent5" w:themeShade="BF"/>
          <w:sz w:val="28"/>
          <w:szCs w:val="28"/>
          <w:u w:val="single"/>
          <w:rtl/>
        </w:rPr>
      </w:pPr>
    </w:p>
    <w:p w:rsidR="00897C33" w:rsidRDefault="00897C33" w:rsidP="00D06AA8">
      <w:pPr>
        <w:spacing w:after="120" w:line="360" w:lineRule="auto"/>
        <w:rPr>
          <w:rFonts w:ascii="David" w:hAnsi="David" w:cs="David"/>
          <w:b/>
          <w:bCs/>
          <w:color w:val="2F5496" w:themeColor="accent5" w:themeShade="BF"/>
          <w:sz w:val="28"/>
          <w:szCs w:val="28"/>
          <w:u w:val="single"/>
          <w:rtl/>
        </w:rPr>
      </w:pPr>
    </w:p>
    <w:p w:rsidR="00D06AA8" w:rsidRDefault="00D06AA8" w:rsidP="00D06AA8">
      <w:pPr>
        <w:spacing w:after="120" w:line="360" w:lineRule="auto"/>
        <w:rPr>
          <w:rFonts w:ascii="David" w:hAnsi="David" w:cs="David"/>
          <w:b/>
          <w:bCs/>
          <w:color w:val="2F5496" w:themeColor="accent5" w:themeShade="BF"/>
          <w:sz w:val="28"/>
          <w:szCs w:val="28"/>
          <w:u w:val="single"/>
          <w:rtl/>
        </w:rPr>
      </w:pPr>
    </w:p>
    <w:p w:rsidR="00D06AA8" w:rsidRDefault="00D06AA8" w:rsidP="00D06AA8">
      <w:pPr>
        <w:spacing w:after="120" w:line="360" w:lineRule="auto"/>
        <w:rPr>
          <w:rFonts w:ascii="David" w:hAnsi="David" w:cs="David"/>
          <w:b/>
          <w:bCs/>
          <w:color w:val="2F5496" w:themeColor="accent5" w:themeShade="BF"/>
          <w:sz w:val="28"/>
          <w:szCs w:val="28"/>
          <w:u w:val="single"/>
          <w:rtl/>
        </w:rPr>
      </w:pPr>
    </w:p>
    <w:p w:rsidR="00D06AA8" w:rsidRDefault="00D06AA8" w:rsidP="00D06AA8">
      <w:pPr>
        <w:spacing w:after="120" w:line="360" w:lineRule="auto"/>
        <w:rPr>
          <w:rFonts w:ascii="David" w:hAnsi="David" w:cs="David"/>
          <w:b/>
          <w:bCs/>
          <w:color w:val="2F5496" w:themeColor="accent5" w:themeShade="BF"/>
          <w:sz w:val="28"/>
          <w:szCs w:val="28"/>
          <w:u w:val="single"/>
          <w:rtl/>
        </w:rPr>
      </w:pPr>
    </w:p>
    <w:p w:rsidR="00D06AA8" w:rsidRDefault="00D06AA8" w:rsidP="00D06AA8">
      <w:pPr>
        <w:spacing w:after="120" w:line="360" w:lineRule="auto"/>
        <w:rPr>
          <w:rFonts w:ascii="David" w:hAnsi="David" w:cs="David"/>
          <w:b/>
          <w:bCs/>
          <w:color w:val="2F5496" w:themeColor="accent5" w:themeShade="BF"/>
          <w:sz w:val="28"/>
          <w:szCs w:val="28"/>
          <w:u w:val="single"/>
          <w:rtl/>
        </w:rPr>
      </w:pPr>
    </w:p>
    <w:p w:rsidR="00D06AA8" w:rsidRDefault="00D06AA8" w:rsidP="00D06AA8">
      <w:pPr>
        <w:spacing w:after="120" w:line="360" w:lineRule="auto"/>
        <w:rPr>
          <w:rFonts w:ascii="David" w:hAnsi="David" w:cs="David"/>
          <w:b/>
          <w:bCs/>
          <w:color w:val="2F5496" w:themeColor="accent5" w:themeShade="BF"/>
          <w:sz w:val="28"/>
          <w:szCs w:val="28"/>
          <w:u w:val="single"/>
          <w:rtl/>
        </w:rPr>
      </w:pPr>
    </w:p>
    <w:p w:rsidR="00D06AA8" w:rsidRDefault="00D06AA8" w:rsidP="00D06AA8">
      <w:pPr>
        <w:spacing w:after="120" w:line="360" w:lineRule="auto"/>
        <w:rPr>
          <w:rFonts w:ascii="David" w:hAnsi="David" w:cs="David"/>
          <w:b/>
          <w:bCs/>
          <w:color w:val="2F5496" w:themeColor="accent5" w:themeShade="BF"/>
          <w:sz w:val="28"/>
          <w:szCs w:val="28"/>
          <w:u w:val="single"/>
          <w:rtl/>
        </w:rPr>
      </w:pPr>
    </w:p>
    <w:p w:rsidR="00D06AA8" w:rsidRDefault="00D06AA8" w:rsidP="00D06AA8">
      <w:pPr>
        <w:spacing w:after="120" w:line="360" w:lineRule="auto"/>
        <w:rPr>
          <w:rFonts w:ascii="David" w:hAnsi="David" w:cs="David"/>
          <w:b/>
          <w:bCs/>
          <w:color w:val="2F5496" w:themeColor="accent5" w:themeShade="BF"/>
          <w:sz w:val="28"/>
          <w:szCs w:val="28"/>
          <w:u w:val="single"/>
          <w:rtl/>
        </w:rPr>
      </w:pPr>
    </w:p>
    <w:p w:rsidR="00897C33" w:rsidRPr="002141B4" w:rsidRDefault="00897C33" w:rsidP="00D06AA8">
      <w:pPr>
        <w:spacing w:after="120" w:line="360" w:lineRule="auto"/>
        <w:jc w:val="center"/>
        <w:rPr>
          <w:rFonts w:ascii="David" w:hAnsi="David" w:cs="David"/>
          <w:b/>
          <w:bCs/>
          <w:color w:val="DEA900"/>
          <w:sz w:val="28"/>
          <w:szCs w:val="28"/>
          <w:u w:val="single"/>
          <w:rtl/>
        </w:rPr>
      </w:pPr>
      <w:r w:rsidRPr="002141B4">
        <w:rPr>
          <w:rFonts w:ascii="David" w:hAnsi="David" w:cs="David" w:hint="cs"/>
          <w:b/>
          <w:bCs/>
          <w:color w:val="DEA900"/>
          <w:sz w:val="28"/>
          <w:szCs w:val="28"/>
          <w:u w:val="single"/>
          <w:rtl/>
        </w:rPr>
        <w:lastRenderedPageBreak/>
        <w:t xml:space="preserve">חוק סרבס אוקסלי </w:t>
      </w:r>
      <w:r w:rsidRPr="002141B4">
        <w:rPr>
          <w:rFonts w:ascii="David" w:hAnsi="David" w:cs="David" w:hint="cs"/>
          <w:b/>
          <w:bCs/>
          <w:color w:val="DEA900"/>
          <w:sz w:val="28"/>
          <w:szCs w:val="28"/>
          <w:u w:val="single"/>
        </w:rPr>
        <w:t>SOX</w:t>
      </w:r>
    </w:p>
    <w:p w:rsidR="00897C33" w:rsidRDefault="00897C33" w:rsidP="00BF5317">
      <w:pPr>
        <w:spacing w:after="120" w:line="360" w:lineRule="auto"/>
        <w:jc w:val="both"/>
        <w:rPr>
          <w:rFonts w:ascii="David" w:hAnsi="David" w:cs="David"/>
          <w:sz w:val="24"/>
          <w:szCs w:val="24"/>
          <w:rtl/>
        </w:rPr>
      </w:pPr>
      <w:r w:rsidRPr="00897C33">
        <w:rPr>
          <w:rFonts w:ascii="David" w:hAnsi="David" w:cs="David" w:hint="cs"/>
          <w:sz w:val="24"/>
          <w:szCs w:val="24"/>
          <w:rtl/>
        </w:rPr>
        <w:t>החוק נחקק בארה"ב לאחר קריסת חברות הענק אנרון וורדקום</w:t>
      </w:r>
      <w:r>
        <w:rPr>
          <w:rFonts w:ascii="David" w:hAnsi="David" w:cs="David" w:hint="cs"/>
          <w:sz w:val="24"/>
          <w:szCs w:val="24"/>
          <w:rtl/>
        </w:rPr>
        <w:t xml:space="preserve"> לאחר מעשי תרמית ודיווחים כוזבים דבר שפגע באמון המשקיעים בשוק ההון . </w:t>
      </w:r>
    </w:p>
    <w:p w:rsidR="00897C33" w:rsidRDefault="00897C33" w:rsidP="00BF5317">
      <w:pPr>
        <w:spacing w:after="120" w:line="360" w:lineRule="auto"/>
        <w:jc w:val="both"/>
        <w:rPr>
          <w:rFonts w:ascii="David" w:hAnsi="David" w:cs="David"/>
          <w:sz w:val="24"/>
          <w:szCs w:val="24"/>
          <w:rtl/>
        </w:rPr>
      </w:pPr>
      <w:r>
        <w:rPr>
          <w:rFonts w:ascii="David" w:hAnsi="David" w:cs="David" w:hint="cs"/>
          <w:sz w:val="24"/>
          <w:szCs w:val="24"/>
          <w:rtl/>
        </w:rPr>
        <w:t>החוק נועד להגביר את הפיקוח והבקרה על חברות שני"ע שלהן רשומים למסחר בבורסה בארה"ב ולהדגיש את האחריות של הנהלות התאגידים של הח"צ</w:t>
      </w:r>
      <w:r w:rsidR="00987C72">
        <w:rPr>
          <w:rFonts w:ascii="David" w:hAnsi="David" w:cs="David" w:hint="cs"/>
          <w:sz w:val="24"/>
          <w:szCs w:val="24"/>
          <w:rtl/>
        </w:rPr>
        <w:t xml:space="preserve"> לדיווח הכספי שלהן . </w:t>
      </w:r>
    </w:p>
    <w:p w:rsidR="002141B4" w:rsidRDefault="002141B4" w:rsidP="00BF5317">
      <w:pPr>
        <w:spacing w:after="120" w:line="360" w:lineRule="auto"/>
        <w:jc w:val="both"/>
        <w:rPr>
          <w:rFonts w:ascii="David" w:hAnsi="David" w:cs="David"/>
          <w:sz w:val="24"/>
          <w:szCs w:val="24"/>
          <w:rtl/>
        </w:rPr>
      </w:pPr>
      <w:r>
        <w:rPr>
          <w:rFonts w:ascii="David" w:hAnsi="David" w:cs="David" w:hint="cs"/>
          <w:sz w:val="24"/>
          <w:szCs w:val="24"/>
          <w:rtl/>
        </w:rPr>
        <w:t xml:space="preserve">החוק אומץ בישראל תחילה לגבי בבנקים בשנת 2005 ומאוחד יותר לגבי חברות ביטוח וחברות ממשלתיות מסוימות </w:t>
      </w:r>
    </w:p>
    <w:p w:rsidR="00897C33" w:rsidRDefault="002141B4" w:rsidP="00BF5317">
      <w:pPr>
        <w:spacing w:after="120" w:line="360" w:lineRule="auto"/>
        <w:jc w:val="both"/>
        <w:rPr>
          <w:rFonts w:ascii="David" w:hAnsi="David" w:cs="David"/>
          <w:sz w:val="24"/>
          <w:szCs w:val="24"/>
          <w:rtl/>
        </w:rPr>
      </w:pPr>
      <w:r>
        <w:rPr>
          <w:rFonts w:ascii="David" w:hAnsi="David" w:cs="David" w:hint="cs"/>
          <w:sz w:val="24"/>
          <w:szCs w:val="24"/>
          <w:rtl/>
        </w:rPr>
        <w:t>ת"ב 1103 נותן מענה לרו"ח המבקר בקשר להוראות ה-</w:t>
      </w:r>
      <w:r>
        <w:rPr>
          <w:rFonts w:ascii="David" w:hAnsi="David" w:cs="David" w:hint="cs"/>
          <w:sz w:val="24"/>
          <w:szCs w:val="24"/>
        </w:rPr>
        <w:t xml:space="preserve">SOX </w:t>
      </w:r>
      <w:r>
        <w:rPr>
          <w:rFonts w:ascii="David" w:hAnsi="David" w:cs="David" w:hint="cs"/>
          <w:sz w:val="24"/>
          <w:szCs w:val="24"/>
          <w:rtl/>
        </w:rPr>
        <w:t xml:space="preserve"> המלא . תקן הביקורת הנ"ל תוקן ע"י תקן ביקורת 106 . </w:t>
      </w:r>
    </w:p>
    <w:p w:rsidR="002141B4" w:rsidRPr="00D06AA8" w:rsidRDefault="002141B4" w:rsidP="00BF5317">
      <w:pPr>
        <w:spacing w:after="120" w:line="360" w:lineRule="auto"/>
        <w:jc w:val="both"/>
        <w:rPr>
          <w:rFonts w:ascii="David" w:hAnsi="David" w:cs="David"/>
          <w:sz w:val="24"/>
          <w:szCs w:val="24"/>
          <w:rtl/>
        </w:rPr>
      </w:pPr>
      <w:r>
        <w:rPr>
          <w:rFonts w:ascii="David" w:hAnsi="David" w:cs="David" w:hint="cs"/>
          <w:sz w:val="24"/>
          <w:szCs w:val="24"/>
          <w:rtl/>
        </w:rPr>
        <w:t>בתקן ביקורת 104 מה-02/11 ניתן מענה לביקורת ח"צ שלא חל עליהן ה-</w:t>
      </w:r>
      <w:r>
        <w:rPr>
          <w:rFonts w:ascii="David" w:hAnsi="David" w:cs="David" w:hint="cs"/>
          <w:sz w:val="24"/>
          <w:szCs w:val="24"/>
        </w:rPr>
        <w:t xml:space="preserve">SOX </w:t>
      </w:r>
      <w:r>
        <w:rPr>
          <w:rFonts w:ascii="David" w:hAnsi="David" w:cs="David" w:hint="cs"/>
          <w:sz w:val="24"/>
          <w:szCs w:val="24"/>
          <w:rtl/>
        </w:rPr>
        <w:t xml:space="preserve"> המלא תוקן ע"י תקני ביקורת </w:t>
      </w:r>
      <w:r w:rsidR="00D06AA8">
        <w:rPr>
          <w:rFonts w:ascii="David" w:hAnsi="David" w:cs="David" w:hint="cs"/>
          <w:sz w:val="24"/>
          <w:szCs w:val="24"/>
          <w:rtl/>
        </w:rPr>
        <w:t>105,107,109</w:t>
      </w:r>
    </w:p>
    <w:p w:rsidR="002141B4" w:rsidRDefault="002141B4" w:rsidP="00BF5317">
      <w:pPr>
        <w:spacing w:after="120" w:line="360" w:lineRule="auto"/>
        <w:jc w:val="both"/>
        <w:rPr>
          <w:rFonts w:ascii="David" w:hAnsi="David" w:cs="David"/>
          <w:b/>
          <w:bCs/>
          <w:sz w:val="24"/>
          <w:szCs w:val="24"/>
          <w:u w:val="single"/>
          <w:rtl/>
        </w:rPr>
      </w:pPr>
      <w:r>
        <w:rPr>
          <w:rFonts w:ascii="David" w:hAnsi="David" w:cs="David" w:hint="cs"/>
          <w:b/>
          <w:bCs/>
          <w:sz w:val="24"/>
          <w:szCs w:val="24"/>
          <w:u w:val="single"/>
          <w:rtl/>
        </w:rPr>
        <w:t xml:space="preserve">השפעת אימוץ חוק סרבנס אוקסלי בישראל מבחינת תוספת דו"חות וסיכוני ביקורת </w:t>
      </w:r>
    </w:p>
    <w:p w:rsidR="002141B4" w:rsidRDefault="002141B4" w:rsidP="00BF5317">
      <w:pPr>
        <w:pStyle w:val="a7"/>
        <w:numPr>
          <w:ilvl w:val="0"/>
          <w:numId w:val="18"/>
        </w:numPr>
        <w:spacing w:after="120" w:line="360" w:lineRule="auto"/>
        <w:jc w:val="both"/>
        <w:rPr>
          <w:rFonts w:ascii="David" w:hAnsi="David" w:cs="David"/>
          <w:sz w:val="24"/>
          <w:szCs w:val="24"/>
        </w:rPr>
      </w:pPr>
      <w:r>
        <w:rPr>
          <w:rFonts w:ascii="David" w:hAnsi="David" w:cs="David" w:hint="cs"/>
          <w:sz w:val="24"/>
          <w:szCs w:val="24"/>
          <w:rtl/>
        </w:rPr>
        <w:t xml:space="preserve">מכח תקנה 9ב(ג) לתקנות ני"ע (דו"חות תקופתיים ומידיים) נוספה חוו"ד חדשה של רו"ח </w:t>
      </w:r>
      <w:r>
        <w:rPr>
          <w:rFonts w:ascii="David" w:hAnsi="David" w:cs="David" w:hint="cs"/>
          <w:b/>
          <w:bCs/>
          <w:sz w:val="24"/>
          <w:szCs w:val="24"/>
          <w:rtl/>
        </w:rPr>
        <w:t xml:space="preserve">המבקר </w:t>
      </w:r>
      <w:r w:rsidRPr="002141B4">
        <w:rPr>
          <w:rFonts w:ascii="David" w:hAnsi="David" w:cs="David" w:hint="cs"/>
          <w:sz w:val="24"/>
          <w:szCs w:val="24"/>
          <w:rtl/>
        </w:rPr>
        <w:t>(</w:t>
      </w:r>
      <w:r>
        <w:rPr>
          <w:rFonts w:ascii="David" w:hAnsi="David" w:cs="David" w:hint="cs"/>
          <w:sz w:val="24"/>
          <w:szCs w:val="24"/>
          <w:rtl/>
        </w:rPr>
        <w:t>לא יכול להיות רו"ח אחר שייתן את חוו"ד הזו</w:t>
      </w:r>
      <w:r w:rsidRPr="002141B4">
        <w:rPr>
          <w:rFonts w:ascii="David" w:hAnsi="David" w:cs="David" w:hint="cs"/>
          <w:sz w:val="24"/>
          <w:szCs w:val="24"/>
          <w:rtl/>
        </w:rPr>
        <w:t>)</w:t>
      </w:r>
      <w:r>
        <w:rPr>
          <w:rFonts w:ascii="David" w:hAnsi="David" w:cs="David" w:hint="cs"/>
          <w:sz w:val="24"/>
          <w:szCs w:val="24"/>
          <w:rtl/>
        </w:rPr>
        <w:t xml:space="preserve"> על הבקרה הפנימית ועל הדיווח הכספי (השפעה ראשונה נוספה ע"י חוו"ד)</w:t>
      </w:r>
    </w:p>
    <w:p w:rsidR="002141B4" w:rsidRDefault="002141B4" w:rsidP="00BF5317">
      <w:pPr>
        <w:pStyle w:val="a7"/>
        <w:numPr>
          <w:ilvl w:val="0"/>
          <w:numId w:val="18"/>
        </w:numPr>
        <w:spacing w:after="120" w:line="360" w:lineRule="auto"/>
        <w:jc w:val="both"/>
        <w:rPr>
          <w:rFonts w:ascii="David" w:hAnsi="David" w:cs="David"/>
          <w:sz w:val="24"/>
          <w:szCs w:val="24"/>
        </w:rPr>
      </w:pPr>
      <w:r>
        <w:rPr>
          <w:rFonts w:ascii="David" w:hAnsi="David" w:cs="David" w:hint="cs"/>
          <w:sz w:val="24"/>
          <w:szCs w:val="24"/>
          <w:rtl/>
        </w:rPr>
        <w:t>מכח תפקידו של רו"ח המבקר עליו להכיר את הסביבה המבוקרת את הכללים המתייחסים לבקרה הפנימית במבוקר (מחייב לדבר מה נוסף)</w:t>
      </w:r>
    </w:p>
    <w:p w:rsidR="002141B4" w:rsidRDefault="002141B4" w:rsidP="00BF5317">
      <w:pPr>
        <w:pStyle w:val="a7"/>
        <w:numPr>
          <w:ilvl w:val="0"/>
          <w:numId w:val="18"/>
        </w:numPr>
        <w:spacing w:after="120" w:line="360" w:lineRule="auto"/>
        <w:jc w:val="both"/>
        <w:rPr>
          <w:rFonts w:ascii="David" w:hAnsi="David" w:cs="David"/>
          <w:sz w:val="24"/>
          <w:szCs w:val="24"/>
        </w:rPr>
      </w:pPr>
      <w:r>
        <w:rPr>
          <w:rFonts w:ascii="David" w:hAnsi="David" w:cs="David" w:hint="cs"/>
          <w:sz w:val="24"/>
          <w:szCs w:val="24"/>
          <w:rtl/>
        </w:rPr>
        <w:t xml:space="preserve">קיומה של בקרה פנימית על הדיווח הכספי גורמת לציפייה שהדיווח הכספי יהיה בסופו של דבר מהימן יותר כך שהיקף הבדיקות המבססות בביקורת הדוכ"ס יקטן יחד עם הסיכונים של רו"ח המבקר למתן חוו"ד שגויה .  </w:t>
      </w:r>
    </w:p>
    <w:p w:rsidR="00D06AA8" w:rsidRDefault="00D06AA8" w:rsidP="00766A82">
      <w:pPr>
        <w:spacing w:after="120" w:line="360" w:lineRule="auto"/>
        <w:jc w:val="both"/>
        <w:rPr>
          <w:rFonts w:ascii="David" w:hAnsi="David" w:cs="David" w:hint="cs"/>
          <w:b/>
          <w:bCs/>
          <w:sz w:val="24"/>
          <w:szCs w:val="24"/>
          <w:u w:val="single"/>
          <w:rtl/>
        </w:rPr>
      </w:pPr>
      <w:r>
        <w:rPr>
          <w:rFonts w:ascii="David" w:hAnsi="David" w:cs="David" w:hint="cs"/>
          <w:b/>
          <w:bCs/>
          <w:sz w:val="24"/>
          <w:szCs w:val="24"/>
          <w:u w:val="single"/>
          <w:rtl/>
        </w:rPr>
        <w:t>סמכויות הפיקוח של ה-</w:t>
      </w:r>
      <w:r>
        <w:rPr>
          <w:rFonts w:ascii="David" w:hAnsi="David" w:cs="David" w:hint="cs"/>
          <w:b/>
          <w:bCs/>
          <w:sz w:val="24"/>
          <w:szCs w:val="24"/>
          <w:u w:val="single"/>
        </w:rPr>
        <w:t>PCAOB</w:t>
      </w:r>
      <w:r>
        <w:rPr>
          <w:rFonts w:ascii="David" w:hAnsi="David" w:cs="David" w:hint="cs"/>
          <w:b/>
          <w:bCs/>
          <w:sz w:val="24"/>
          <w:szCs w:val="24"/>
          <w:u w:val="single"/>
          <w:rtl/>
        </w:rPr>
        <w:t xml:space="preserve"> בישראל .</w:t>
      </w:r>
    </w:p>
    <w:p w:rsidR="00D06AA8" w:rsidRDefault="00D06AA8" w:rsidP="00766A82">
      <w:pPr>
        <w:spacing w:after="120" w:line="360" w:lineRule="auto"/>
        <w:jc w:val="both"/>
        <w:rPr>
          <w:rFonts w:ascii="David" w:hAnsi="David" w:cs="David"/>
          <w:sz w:val="24"/>
          <w:szCs w:val="24"/>
          <w:rtl/>
        </w:rPr>
      </w:pPr>
      <w:r>
        <w:rPr>
          <w:rFonts w:ascii="David" w:hAnsi="David" w:cs="David" w:hint="cs"/>
          <w:sz w:val="24"/>
          <w:szCs w:val="24"/>
          <w:rtl/>
        </w:rPr>
        <w:t>המועצה לפיקוח על הביקורת בארה"ב ה-</w:t>
      </w:r>
      <w:r>
        <w:rPr>
          <w:rFonts w:ascii="David" w:hAnsi="David" w:cs="David" w:hint="cs"/>
          <w:sz w:val="24"/>
          <w:szCs w:val="24"/>
        </w:rPr>
        <w:t>PCAOB</w:t>
      </w:r>
      <w:r>
        <w:rPr>
          <w:rFonts w:ascii="David" w:hAnsi="David" w:cs="David" w:hint="cs"/>
          <w:sz w:val="24"/>
          <w:szCs w:val="24"/>
          <w:rtl/>
        </w:rPr>
        <w:t xml:space="preserve"> , גוף זה מפקח על הביקורת בח"צ הנסחרות בארה"ב כולל חברות זרות הנסחרות שם לכן ה-</w:t>
      </w:r>
      <w:r>
        <w:rPr>
          <w:rFonts w:ascii="David" w:hAnsi="David" w:cs="David" w:hint="cs"/>
          <w:sz w:val="24"/>
          <w:szCs w:val="24"/>
        </w:rPr>
        <w:t>PCAOB</w:t>
      </w:r>
      <w:r>
        <w:rPr>
          <w:rFonts w:ascii="David" w:hAnsi="David" w:cs="David" w:hint="cs"/>
          <w:sz w:val="24"/>
          <w:szCs w:val="24"/>
          <w:rtl/>
        </w:rPr>
        <w:t xml:space="preserve"> רשאי לבצע ומבצע בפועל ביקורת במשרדי רו"ח ישראליים המבקרים חברות ישראליות שני"ע שלהם נסחרים בבורסה בארה"</w:t>
      </w:r>
      <w:r w:rsidR="00766A82">
        <w:rPr>
          <w:rFonts w:ascii="David" w:hAnsi="David" w:cs="David" w:hint="cs"/>
          <w:sz w:val="24"/>
          <w:szCs w:val="24"/>
          <w:rtl/>
        </w:rPr>
        <w:t>ב</w:t>
      </w:r>
      <w:r>
        <w:rPr>
          <w:rFonts w:ascii="David" w:hAnsi="David" w:cs="David" w:hint="cs"/>
          <w:sz w:val="24"/>
          <w:szCs w:val="24"/>
          <w:rtl/>
        </w:rPr>
        <w:t xml:space="preserve">. </w:t>
      </w:r>
    </w:p>
    <w:p w:rsidR="00BF5317" w:rsidRDefault="00BF5317" w:rsidP="00766A82">
      <w:pPr>
        <w:spacing w:after="120" w:line="360" w:lineRule="auto"/>
        <w:jc w:val="both"/>
        <w:rPr>
          <w:rFonts w:ascii="David" w:hAnsi="David" w:cs="David" w:hint="cs"/>
          <w:b/>
          <w:bCs/>
          <w:sz w:val="24"/>
          <w:szCs w:val="24"/>
          <w:u w:val="single"/>
          <w:rtl/>
        </w:rPr>
      </w:pPr>
      <w:r>
        <w:rPr>
          <w:rFonts w:ascii="David" w:hAnsi="David" w:cs="David" w:hint="cs"/>
          <w:b/>
          <w:bCs/>
          <w:sz w:val="24"/>
          <w:szCs w:val="24"/>
          <w:u w:val="single"/>
          <w:rtl/>
        </w:rPr>
        <w:t xml:space="preserve">ועדת גושן </w:t>
      </w:r>
      <w:r>
        <w:rPr>
          <w:rFonts w:ascii="David" w:hAnsi="David" w:cs="David"/>
          <w:b/>
          <w:bCs/>
          <w:sz w:val="24"/>
          <w:szCs w:val="24"/>
          <w:u w:val="single"/>
          <w:rtl/>
        </w:rPr>
        <w:t>–</w:t>
      </w:r>
      <w:r>
        <w:rPr>
          <w:rFonts w:ascii="David" w:hAnsi="David" w:cs="David" w:hint="cs"/>
          <w:b/>
          <w:bCs/>
          <w:sz w:val="24"/>
          <w:szCs w:val="24"/>
          <w:u w:val="single"/>
          <w:rtl/>
        </w:rPr>
        <w:t xml:space="preserve"> הוועדה לפיקוח על ממשל תאגידי בישראל</w:t>
      </w:r>
    </w:p>
    <w:p w:rsidR="00BF5317" w:rsidRDefault="00BF5317" w:rsidP="00766A82">
      <w:pPr>
        <w:spacing w:after="120" w:line="360" w:lineRule="auto"/>
        <w:jc w:val="both"/>
        <w:rPr>
          <w:rFonts w:ascii="David" w:hAnsi="David" w:cs="David"/>
          <w:sz w:val="24"/>
          <w:szCs w:val="24"/>
          <w:rtl/>
        </w:rPr>
      </w:pPr>
      <w:r>
        <w:rPr>
          <w:rFonts w:ascii="David" w:hAnsi="David" w:cs="David" w:hint="cs"/>
          <w:sz w:val="24"/>
          <w:szCs w:val="24"/>
          <w:rtl/>
        </w:rPr>
        <w:t xml:space="preserve">הוועדה פרסה את המלצותיה בשנת 2006 . במסגרת המלצותיה היא הגדירה מחדש את אחריות הדירקטוריון , ההנהלה ורו"ח המבקרים . ההמלצות כללו את שיפור מנגננו הבקרה בחברות וכן שינוי בהרכב ועבודת הדירקטוריון וועדת הביקורת , שינוי הליך העסקאות עם בעלי שליטה וכינון בימ"ש לדיני חברות . </w:t>
      </w:r>
    </w:p>
    <w:p w:rsidR="00BF5317" w:rsidRDefault="00BF5317" w:rsidP="00766A82">
      <w:pPr>
        <w:spacing w:after="120" w:line="360" w:lineRule="auto"/>
        <w:jc w:val="both"/>
        <w:rPr>
          <w:rFonts w:ascii="David" w:hAnsi="David" w:cs="David"/>
          <w:sz w:val="24"/>
          <w:szCs w:val="24"/>
          <w:rtl/>
        </w:rPr>
      </w:pPr>
      <w:r>
        <w:rPr>
          <w:rFonts w:ascii="David" w:hAnsi="David" w:cs="David" w:hint="cs"/>
          <w:sz w:val="24"/>
          <w:szCs w:val="24"/>
          <w:rtl/>
        </w:rPr>
        <w:t>כתוצאה מהמלצות הוועדה תוקנו תקנות ני"ע (דו"חות תקופתיים ומידיים) וכן תיקון 16  לח"ח.</w:t>
      </w:r>
    </w:p>
    <w:p w:rsidR="00BF5317" w:rsidRDefault="00BF5317" w:rsidP="00766A82">
      <w:pPr>
        <w:spacing w:after="120" w:line="360" w:lineRule="auto"/>
        <w:jc w:val="both"/>
        <w:rPr>
          <w:rFonts w:ascii="David" w:hAnsi="David" w:cs="David"/>
          <w:b/>
          <w:bCs/>
          <w:sz w:val="24"/>
          <w:szCs w:val="24"/>
          <w:u w:val="single"/>
          <w:rtl/>
        </w:rPr>
      </w:pPr>
      <w:r>
        <w:rPr>
          <w:rFonts w:ascii="David" w:hAnsi="David" w:cs="David" w:hint="cs"/>
          <w:b/>
          <w:bCs/>
          <w:sz w:val="24"/>
          <w:szCs w:val="24"/>
          <w:u w:val="single"/>
          <w:rtl/>
        </w:rPr>
        <w:t>עיקרי תקנה 9ב(ג) לתקנות ני"ע (דו"חות תקופתיים ומידיים)</w:t>
      </w:r>
    </w:p>
    <w:p w:rsidR="00BF5317" w:rsidRDefault="00BF5317" w:rsidP="00766A82">
      <w:pPr>
        <w:spacing w:after="120" w:line="360" w:lineRule="auto"/>
        <w:jc w:val="both"/>
        <w:rPr>
          <w:rFonts w:ascii="David" w:hAnsi="David" w:cs="David"/>
          <w:sz w:val="24"/>
          <w:szCs w:val="24"/>
          <w:rtl/>
        </w:rPr>
      </w:pPr>
      <w:r>
        <w:rPr>
          <w:rFonts w:ascii="David" w:hAnsi="David" w:cs="David" w:hint="cs"/>
          <w:sz w:val="24"/>
          <w:szCs w:val="24"/>
          <w:rtl/>
        </w:rPr>
        <w:t xml:space="preserve">במסגרת הסעיף נקבעה חובת צירוף חוו"ד המבקר בקשר עם אפקטיביות הבקרה הפנימית על הדיווח הכספי והגילוי. לדו"ח השנתי על הבקרה הפנימית (שההנהלה מוציאה) </w:t>
      </w:r>
      <w:r w:rsidR="003D29DC">
        <w:rPr>
          <w:rFonts w:ascii="David" w:hAnsi="David" w:cs="David" w:hint="cs"/>
          <w:sz w:val="24"/>
          <w:szCs w:val="24"/>
          <w:rtl/>
        </w:rPr>
        <w:t xml:space="preserve">יצורף דו"ח רו"ח המבקר, שיכלול חוו"ד מטעמו בדבר אפקטיביות הבקרה הפנימית על הדיווח הכספי ובדבר חולשות </w:t>
      </w:r>
      <w:r w:rsidR="003D29DC">
        <w:rPr>
          <w:rFonts w:ascii="David" w:hAnsi="David" w:cs="David" w:hint="cs"/>
          <w:sz w:val="24"/>
          <w:szCs w:val="24"/>
          <w:rtl/>
        </w:rPr>
        <w:lastRenderedPageBreak/>
        <w:t xml:space="preserve">מהותיות שהוא זיהה בבקרה זו </w:t>
      </w:r>
      <w:r w:rsidR="00B01240">
        <w:rPr>
          <w:rFonts w:ascii="David" w:hAnsi="David" w:cs="David" w:hint="cs"/>
          <w:sz w:val="24"/>
          <w:szCs w:val="24"/>
          <w:rtl/>
        </w:rPr>
        <w:t xml:space="preserve">ובכלל זה כאלה שלא ניתן להם גילוי נאות בהערכת הדירקטוריון וההנהלה בדו"ח השנתי על הבקרה הפנימית . </w:t>
      </w:r>
    </w:p>
    <w:p w:rsidR="00B01240" w:rsidRDefault="00B01240" w:rsidP="00766A82">
      <w:pPr>
        <w:spacing w:after="120" w:line="360" w:lineRule="auto"/>
        <w:jc w:val="both"/>
        <w:rPr>
          <w:rFonts w:ascii="David" w:hAnsi="David" w:cs="David"/>
          <w:sz w:val="24"/>
          <w:szCs w:val="24"/>
          <w:rtl/>
        </w:rPr>
      </w:pPr>
      <w:r>
        <w:rPr>
          <w:rFonts w:ascii="David" w:hAnsi="David" w:cs="David" w:hint="cs"/>
          <w:sz w:val="24"/>
          <w:szCs w:val="24"/>
          <w:rtl/>
        </w:rPr>
        <w:t xml:space="preserve">לעניין זה , יראו חוו"ד בדבר אפקטיביות הבקרות שתתייחס לכ"א מרכיבי בקרה אלה . בקרות ברמת הארגון , בקרות על תהליך עריכת הדו"חות וסגירתם , בקרות כלליות על מערכות המידע </w:t>
      </w:r>
      <w:r w:rsidR="00766A82">
        <w:rPr>
          <w:rFonts w:ascii="David" w:hAnsi="David" w:cs="David" w:hint="cs"/>
          <w:sz w:val="24"/>
          <w:szCs w:val="24"/>
          <w:rtl/>
        </w:rPr>
        <w:t xml:space="preserve">ובקרות על תהליכים מהותיים מאד לדיווח הכספי כחוו"ד בדבר אפקטיביות הבקרה הפנימית על הדיווח הכספי. </w:t>
      </w:r>
    </w:p>
    <w:p w:rsidR="00766A82" w:rsidRDefault="00766A82" w:rsidP="00766A82">
      <w:pPr>
        <w:spacing w:after="120" w:line="360" w:lineRule="auto"/>
        <w:jc w:val="both"/>
        <w:rPr>
          <w:rFonts w:ascii="David" w:hAnsi="David" w:cs="David" w:hint="cs"/>
          <w:sz w:val="24"/>
          <w:szCs w:val="24"/>
          <w:rtl/>
        </w:rPr>
      </w:pPr>
      <w:r>
        <w:rPr>
          <w:rFonts w:ascii="David" w:hAnsi="David" w:cs="David" w:hint="cs"/>
          <w:sz w:val="24"/>
          <w:szCs w:val="24"/>
          <w:rtl/>
        </w:rPr>
        <w:t xml:space="preserve">ביקורת זאת חייבת להתבצע ע"י רו"ח המבקר. אפשר לפצל ע"י שני שותפים במשרד אך לא ע"י שני משרדים </w:t>
      </w:r>
    </w:p>
    <w:p w:rsidR="00766A82" w:rsidRDefault="00766A82" w:rsidP="00766A82">
      <w:pPr>
        <w:spacing w:after="120" w:line="360" w:lineRule="auto"/>
        <w:jc w:val="both"/>
        <w:rPr>
          <w:rFonts w:ascii="David" w:hAnsi="David" w:cs="David" w:hint="cs"/>
          <w:i/>
          <w:iCs/>
          <w:sz w:val="24"/>
          <w:szCs w:val="24"/>
          <w:rtl/>
        </w:rPr>
      </w:pPr>
      <w:r>
        <w:rPr>
          <w:rFonts w:ascii="David" w:hAnsi="David" w:cs="David" w:hint="cs"/>
          <w:b/>
          <w:bCs/>
          <w:sz w:val="24"/>
          <w:szCs w:val="24"/>
          <w:rtl/>
        </w:rPr>
        <w:t xml:space="preserve">"חולשה מהותית"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הגדרה </w:t>
      </w:r>
      <w:r>
        <w:rPr>
          <w:rFonts w:ascii="David" w:hAnsi="David" w:cs="David"/>
          <w:sz w:val="24"/>
          <w:szCs w:val="24"/>
          <w:rtl/>
        </w:rPr>
        <w:t>–</w:t>
      </w:r>
      <w:r>
        <w:rPr>
          <w:rFonts w:ascii="David" w:hAnsi="David" w:cs="David" w:hint="cs"/>
          <w:sz w:val="24"/>
          <w:szCs w:val="24"/>
          <w:rtl/>
        </w:rPr>
        <w:t xml:space="preserve"> </w:t>
      </w:r>
      <w:r w:rsidRPr="00766A82">
        <w:rPr>
          <w:rFonts w:ascii="David" w:hAnsi="David" w:cs="David" w:hint="cs"/>
          <w:i/>
          <w:iCs/>
          <w:sz w:val="24"/>
          <w:szCs w:val="24"/>
          <w:rtl/>
        </w:rPr>
        <w:t>"</w:t>
      </w:r>
      <w:r>
        <w:rPr>
          <w:rFonts w:ascii="David" w:hAnsi="David" w:cs="David" w:hint="cs"/>
          <w:i/>
          <w:iCs/>
          <w:sz w:val="24"/>
          <w:szCs w:val="24"/>
          <w:rtl/>
        </w:rPr>
        <w:t>ליקוי או צירוף של ליקויים בבקרה פנימית על דיווח כספי עד כדי כך שקיימת אפשרות סבירה כי הצגה מוטעית מהותית בדוכ"ס שנתיים או רבעוניים של החברה לא תמנע או תתגלה במועד</w:t>
      </w:r>
      <w:r w:rsidRPr="00766A82">
        <w:rPr>
          <w:rFonts w:ascii="David" w:hAnsi="David" w:cs="David" w:hint="cs"/>
          <w:i/>
          <w:iCs/>
          <w:sz w:val="24"/>
          <w:szCs w:val="24"/>
          <w:rtl/>
        </w:rPr>
        <w:t>"</w:t>
      </w:r>
      <w:r>
        <w:rPr>
          <w:rFonts w:ascii="David" w:hAnsi="David" w:cs="David" w:hint="cs"/>
          <w:i/>
          <w:iCs/>
          <w:sz w:val="24"/>
          <w:szCs w:val="24"/>
          <w:rtl/>
        </w:rPr>
        <w:t>.</w:t>
      </w:r>
    </w:p>
    <w:p w:rsidR="00766A82" w:rsidRDefault="00766A82" w:rsidP="00766A82">
      <w:pPr>
        <w:pStyle w:val="a7"/>
        <w:numPr>
          <w:ilvl w:val="0"/>
          <w:numId w:val="19"/>
        </w:numPr>
        <w:spacing w:after="120" w:line="360" w:lineRule="auto"/>
        <w:ind w:left="697" w:hanging="357"/>
        <w:jc w:val="both"/>
        <w:rPr>
          <w:rFonts w:ascii="David" w:hAnsi="David" w:cs="David" w:hint="cs"/>
          <w:b/>
          <w:bCs/>
          <w:color w:val="FF0000"/>
          <w:sz w:val="24"/>
          <w:szCs w:val="24"/>
        </w:rPr>
      </w:pPr>
      <w:r w:rsidRPr="00766A82">
        <w:rPr>
          <w:rFonts w:ascii="David" w:hAnsi="David" w:cs="David" w:hint="cs"/>
          <w:b/>
          <w:bCs/>
          <w:color w:val="FF0000"/>
          <w:sz w:val="24"/>
          <w:szCs w:val="24"/>
          <w:rtl/>
        </w:rPr>
        <w:t xml:space="preserve">לא מיישמים ביקורת כזאת על דו"חות רבעוניים אבל ההגדרה כן מתייחסת לדו"חות רבעוניים </w:t>
      </w:r>
      <w:r>
        <w:rPr>
          <w:rFonts w:ascii="David" w:hAnsi="David" w:cs="David" w:hint="cs"/>
          <w:b/>
          <w:bCs/>
          <w:color w:val="FF0000"/>
          <w:sz w:val="24"/>
          <w:szCs w:val="24"/>
          <w:rtl/>
        </w:rPr>
        <w:t>.</w:t>
      </w:r>
    </w:p>
    <w:p w:rsidR="00766A82" w:rsidRDefault="00766A82" w:rsidP="00766A82">
      <w:pPr>
        <w:spacing w:after="120" w:line="360" w:lineRule="auto"/>
        <w:jc w:val="both"/>
        <w:rPr>
          <w:rFonts w:ascii="David" w:hAnsi="David" w:cs="David"/>
          <w:b/>
          <w:bCs/>
          <w:sz w:val="24"/>
          <w:szCs w:val="24"/>
          <w:rtl/>
        </w:rPr>
      </w:pPr>
      <w:r w:rsidRPr="00766A82">
        <w:rPr>
          <w:rFonts w:ascii="David" w:hAnsi="David" w:cs="David" w:hint="cs"/>
          <w:sz w:val="24"/>
          <w:szCs w:val="24"/>
          <w:u w:val="single"/>
          <w:rtl/>
        </w:rPr>
        <w:t xml:space="preserve">משמעות קיומה של חולשה מהותית </w:t>
      </w:r>
      <w:r>
        <w:rPr>
          <w:rFonts w:ascii="David" w:hAnsi="David" w:cs="David"/>
          <w:sz w:val="24"/>
          <w:szCs w:val="24"/>
          <w:u w:val="single"/>
          <w:rtl/>
        </w:rPr>
        <w:t>–</w:t>
      </w:r>
      <w:r w:rsidRPr="00766A82">
        <w:rPr>
          <w:rFonts w:ascii="David" w:hAnsi="David" w:cs="David" w:hint="cs"/>
          <w:sz w:val="24"/>
          <w:szCs w:val="24"/>
          <w:u w:val="single"/>
          <w:rtl/>
        </w:rPr>
        <w:t xml:space="preserve"> </w:t>
      </w:r>
      <w:r>
        <w:rPr>
          <w:rFonts w:ascii="David" w:hAnsi="David" w:cs="David" w:hint="cs"/>
          <w:sz w:val="24"/>
          <w:szCs w:val="24"/>
          <w:rtl/>
        </w:rPr>
        <w:t xml:space="preserve">תינתן חוו"ד שלילית ז"א אנו לא מחפשים כמה חולשות מהותיות כלומר, די בקיומה של חולשה מהותית אחת בכדי שתינתן חוו"ד שלילית </w:t>
      </w:r>
      <w:r>
        <w:rPr>
          <w:rFonts w:ascii="David" w:hAnsi="David" w:cs="David" w:hint="cs"/>
          <w:b/>
          <w:bCs/>
          <w:sz w:val="24"/>
          <w:szCs w:val="24"/>
          <w:rtl/>
        </w:rPr>
        <w:t xml:space="preserve">כך נקבע בנייר עמדה 199-9- שם נקבע שאו שהבקרה אפקטיבית וחוו"ד חלקה או שהיא לא אפקטיבית וחוו"ד שלילית . </w:t>
      </w:r>
    </w:p>
    <w:p w:rsidR="00766A82" w:rsidRDefault="00766A82" w:rsidP="00766A82">
      <w:pPr>
        <w:spacing w:after="120" w:line="360" w:lineRule="auto"/>
        <w:jc w:val="both"/>
        <w:rPr>
          <w:rFonts w:ascii="David" w:hAnsi="David" w:cs="David"/>
          <w:sz w:val="24"/>
          <w:szCs w:val="24"/>
          <w:rtl/>
        </w:rPr>
      </w:pPr>
      <w:r>
        <w:rPr>
          <w:rFonts w:ascii="David" w:hAnsi="David" w:cs="David" w:hint="cs"/>
          <w:sz w:val="24"/>
          <w:szCs w:val="24"/>
          <w:rtl/>
        </w:rPr>
        <w:t xml:space="preserve">אין הסתייגות כיוון , שזה מה שקבע נייר העמדה 199-9 . </w:t>
      </w:r>
    </w:p>
    <w:p w:rsidR="00766A82" w:rsidRDefault="00766A82" w:rsidP="00766A82">
      <w:pPr>
        <w:spacing w:after="120" w:line="360" w:lineRule="auto"/>
        <w:jc w:val="center"/>
        <w:rPr>
          <w:rFonts w:ascii="David" w:hAnsi="David" w:cs="David"/>
          <w:b/>
          <w:bCs/>
          <w:color w:val="33CC33"/>
          <w:sz w:val="28"/>
          <w:szCs w:val="28"/>
          <w:u w:val="single"/>
          <w:rtl/>
        </w:rPr>
      </w:pPr>
      <w:r w:rsidRPr="00766A82">
        <w:rPr>
          <w:rFonts w:ascii="David" w:hAnsi="David" w:cs="David" w:hint="cs"/>
          <w:b/>
          <w:bCs/>
          <w:color w:val="33CC33"/>
          <w:sz w:val="28"/>
          <w:szCs w:val="28"/>
          <w:u w:val="single"/>
          <w:rtl/>
        </w:rPr>
        <w:t xml:space="preserve">הרחבה </w:t>
      </w:r>
      <w:r w:rsidRPr="00766A82">
        <w:rPr>
          <w:rFonts w:ascii="David" w:hAnsi="David" w:cs="David"/>
          <w:b/>
          <w:bCs/>
          <w:color w:val="33CC33"/>
          <w:sz w:val="28"/>
          <w:szCs w:val="28"/>
          <w:u w:val="single"/>
          <w:rtl/>
        </w:rPr>
        <w:t>–</w:t>
      </w:r>
      <w:r w:rsidRPr="00766A82">
        <w:rPr>
          <w:rFonts w:ascii="David" w:hAnsi="David" w:cs="David" w:hint="cs"/>
          <w:b/>
          <w:bCs/>
          <w:color w:val="33CC33"/>
          <w:sz w:val="28"/>
          <w:szCs w:val="28"/>
          <w:u w:val="single"/>
          <w:rtl/>
        </w:rPr>
        <w:t xml:space="preserve"> נייר עמדה 199-9 של הרשות לני"ע</w:t>
      </w:r>
      <w:r>
        <w:rPr>
          <w:rFonts w:ascii="David" w:hAnsi="David" w:cs="David" w:hint="cs"/>
          <w:b/>
          <w:bCs/>
          <w:color w:val="33CC33"/>
          <w:sz w:val="28"/>
          <w:szCs w:val="28"/>
          <w:u w:val="single"/>
          <w:rtl/>
        </w:rPr>
        <w:t xml:space="preserve"> (חובה לקרוא אותו !!!)</w:t>
      </w:r>
    </w:p>
    <w:p w:rsidR="003741D3" w:rsidRPr="003741D3" w:rsidRDefault="003741D3" w:rsidP="003741D3">
      <w:pPr>
        <w:pStyle w:val="a7"/>
        <w:numPr>
          <w:ilvl w:val="0"/>
          <w:numId w:val="20"/>
        </w:numPr>
        <w:spacing w:after="120" w:line="360" w:lineRule="auto"/>
        <w:jc w:val="both"/>
        <w:rPr>
          <w:rFonts w:ascii="David" w:hAnsi="David" w:cs="David"/>
          <w:b/>
          <w:bCs/>
          <w:sz w:val="24"/>
          <w:szCs w:val="24"/>
          <w:u w:val="single"/>
        </w:rPr>
      </w:pPr>
      <w:r w:rsidRPr="003741D3">
        <w:rPr>
          <w:rFonts w:ascii="David" w:hAnsi="David" w:cs="David" w:hint="cs"/>
          <w:b/>
          <w:bCs/>
          <w:sz w:val="24"/>
          <w:szCs w:val="24"/>
          <w:u w:val="single"/>
          <w:rtl/>
        </w:rPr>
        <w:t xml:space="preserve">בקרות ברמת הארגון </w:t>
      </w:r>
      <w:r w:rsidRPr="003741D3">
        <w:rPr>
          <w:rFonts w:ascii="David" w:hAnsi="David" w:cs="David" w:hint="cs"/>
          <w:b/>
          <w:bCs/>
          <w:sz w:val="24"/>
          <w:szCs w:val="24"/>
          <w:u w:val="single"/>
        </w:rPr>
        <w:t>ELC</w:t>
      </w:r>
      <w:r>
        <w:rPr>
          <w:rFonts w:ascii="David" w:hAnsi="David" w:cs="David" w:hint="cs"/>
          <w:b/>
          <w:bCs/>
          <w:sz w:val="24"/>
          <w:szCs w:val="24"/>
          <w:u w:val="single"/>
          <w:rtl/>
        </w:rPr>
        <w:t xml:space="preserve"> </w:t>
      </w:r>
      <w:r>
        <w:rPr>
          <w:rFonts w:ascii="David" w:hAnsi="David" w:cs="David"/>
          <w:b/>
          <w:bCs/>
          <w:sz w:val="24"/>
          <w:szCs w:val="24"/>
          <w:u w:val="single"/>
          <w:rtl/>
        </w:rPr>
        <w:t>–</w:t>
      </w:r>
      <w:r>
        <w:rPr>
          <w:rFonts w:ascii="David" w:hAnsi="David" w:cs="David" w:hint="cs"/>
          <w:sz w:val="24"/>
          <w:szCs w:val="24"/>
          <w:rtl/>
        </w:rPr>
        <w:t xml:space="preserve"> אלו בקרות שעשויה להיות להן השפעה כוללת על הארגון והן מהוות את התשתית לאופי הפעילות המבוצעת בתאגיד. הבקרות כוללות בין היתר:</w:t>
      </w:r>
    </w:p>
    <w:p w:rsidR="003741D3" w:rsidRPr="003741D3" w:rsidRDefault="003741D3" w:rsidP="003741D3">
      <w:pPr>
        <w:pStyle w:val="a7"/>
        <w:numPr>
          <w:ilvl w:val="0"/>
          <w:numId w:val="22"/>
        </w:numPr>
        <w:spacing w:after="120" w:line="360" w:lineRule="auto"/>
        <w:jc w:val="both"/>
        <w:rPr>
          <w:rFonts w:ascii="David" w:hAnsi="David" w:cs="David"/>
          <w:b/>
          <w:bCs/>
          <w:sz w:val="24"/>
          <w:szCs w:val="24"/>
        </w:rPr>
      </w:pPr>
      <w:r>
        <w:rPr>
          <w:rFonts w:ascii="David" w:hAnsi="David" w:cs="David" w:hint="cs"/>
          <w:b/>
          <w:bCs/>
          <w:sz w:val="24"/>
          <w:szCs w:val="24"/>
          <w:rtl/>
        </w:rPr>
        <w:t xml:space="preserve">בקרות הקשורות לסביבת הבקרה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למשל: נהלים ובקרות ליישום כלל ממשל תאגידי לרבות תהליכי בקרה ואישור של החלטות.</w:t>
      </w:r>
    </w:p>
    <w:p w:rsidR="003741D3" w:rsidRPr="003741D3" w:rsidRDefault="003741D3" w:rsidP="003741D3">
      <w:pPr>
        <w:pStyle w:val="a7"/>
        <w:numPr>
          <w:ilvl w:val="0"/>
          <w:numId w:val="22"/>
        </w:numPr>
        <w:spacing w:after="120" w:line="360" w:lineRule="auto"/>
        <w:jc w:val="both"/>
        <w:rPr>
          <w:rFonts w:ascii="David" w:hAnsi="David" w:cs="David" w:hint="cs"/>
          <w:b/>
          <w:bCs/>
          <w:sz w:val="24"/>
          <w:szCs w:val="24"/>
        </w:rPr>
      </w:pPr>
      <w:r w:rsidRPr="003741D3">
        <w:rPr>
          <w:rFonts w:ascii="David" w:hAnsi="David" w:cs="David" w:hint="cs"/>
          <w:b/>
          <w:bCs/>
          <w:sz w:val="24"/>
          <w:szCs w:val="24"/>
          <w:rtl/>
        </w:rPr>
        <w:t xml:space="preserve">קיום תכנית אכיפה פנימית (ציות) ויישומה </w:t>
      </w:r>
      <w:r>
        <w:rPr>
          <w:rFonts w:ascii="David" w:hAnsi="David" w:cs="David" w:hint="cs"/>
          <w:sz w:val="24"/>
          <w:szCs w:val="24"/>
          <w:rtl/>
        </w:rPr>
        <w:t xml:space="preserve">- (קביעת נהלים ברורים לגבי הסמכויות של כ"א בחברה) את הממצאים מעבירים בישובות הדירקטוריון ובוועדות הביקורת </w:t>
      </w:r>
    </w:p>
    <w:p w:rsidR="003741D3" w:rsidRPr="003741D3" w:rsidRDefault="003741D3" w:rsidP="003741D3">
      <w:pPr>
        <w:pStyle w:val="a7"/>
        <w:numPr>
          <w:ilvl w:val="0"/>
          <w:numId w:val="22"/>
        </w:numPr>
        <w:spacing w:after="120" w:line="360" w:lineRule="auto"/>
        <w:jc w:val="both"/>
        <w:rPr>
          <w:rFonts w:ascii="David" w:hAnsi="David" w:cs="David"/>
          <w:b/>
          <w:bCs/>
          <w:sz w:val="24"/>
          <w:szCs w:val="24"/>
        </w:rPr>
      </w:pPr>
      <w:r>
        <w:rPr>
          <w:rFonts w:ascii="David" w:hAnsi="David" w:cs="David" w:hint="cs"/>
          <w:b/>
          <w:bCs/>
          <w:sz w:val="24"/>
          <w:szCs w:val="24"/>
          <w:rtl/>
        </w:rPr>
        <w:t>נהלים לאישור ודיווח של עסקאות עם בעלי עניין</w:t>
      </w:r>
    </w:p>
    <w:p w:rsidR="003741D3" w:rsidRPr="003741D3" w:rsidRDefault="003741D3" w:rsidP="003741D3">
      <w:pPr>
        <w:spacing w:after="120" w:line="360" w:lineRule="auto"/>
        <w:ind w:left="720"/>
        <w:jc w:val="both"/>
        <w:rPr>
          <w:rFonts w:ascii="David" w:hAnsi="David" w:cs="David"/>
          <w:b/>
          <w:bCs/>
          <w:sz w:val="24"/>
          <w:szCs w:val="24"/>
        </w:rPr>
      </w:pPr>
      <w:r>
        <w:rPr>
          <w:rFonts w:ascii="David" w:hAnsi="David" w:cs="David" w:hint="cs"/>
          <w:sz w:val="24"/>
          <w:szCs w:val="24"/>
          <w:rtl/>
        </w:rPr>
        <w:t xml:space="preserve">בנוסף , בקרות אלה נועדו למנוע ולצמצם את אפשרות ההנהלה לאכוף בקוררת שנקבעו בתאגיד , תהליך הערכת סיכונים וניהולם , תהליך הערכת תוצאות הפעילות, למשל: בדיקת עמידה בתחזיות וכדו'. </w:t>
      </w:r>
      <w:r w:rsidRPr="003741D3">
        <w:rPr>
          <w:rFonts w:ascii="David" w:hAnsi="David" w:cs="David" w:hint="cs"/>
          <w:sz w:val="24"/>
          <w:szCs w:val="24"/>
          <w:rtl/>
        </w:rPr>
        <w:t xml:space="preserve"> </w:t>
      </w:r>
    </w:p>
    <w:p w:rsidR="003741D3" w:rsidRPr="004E0615" w:rsidRDefault="003741D3" w:rsidP="003741D3">
      <w:pPr>
        <w:pStyle w:val="a7"/>
        <w:numPr>
          <w:ilvl w:val="0"/>
          <w:numId w:val="20"/>
        </w:numPr>
        <w:spacing w:after="120" w:line="360" w:lineRule="auto"/>
        <w:jc w:val="both"/>
        <w:rPr>
          <w:rFonts w:ascii="David" w:hAnsi="David" w:cs="David"/>
          <w:b/>
          <w:bCs/>
          <w:sz w:val="24"/>
          <w:szCs w:val="24"/>
          <w:u w:val="single"/>
        </w:rPr>
      </w:pPr>
      <w:r w:rsidRPr="003741D3">
        <w:rPr>
          <w:rFonts w:ascii="David" w:hAnsi="David" w:cs="David" w:hint="cs"/>
          <w:b/>
          <w:bCs/>
          <w:sz w:val="24"/>
          <w:szCs w:val="24"/>
          <w:u w:val="single"/>
          <w:rtl/>
        </w:rPr>
        <w:t>בקרות על תהליך עריכת הדו"חות וסגירתם</w:t>
      </w:r>
      <w:r>
        <w:rPr>
          <w:rFonts w:ascii="David" w:hAnsi="David" w:cs="David" w:hint="cs"/>
          <w:b/>
          <w:bCs/>
          <w:sz w:val="24"/>
          <w:szCs w:val="24"/>
          <w:u w:val="single"/>
          <w:rtl/>
        </w:rPr>
        <w:t xml:space="preserve">- </w:t>
      </w:r>
      <w:r>
        <w:rPr>
          <w:rFonts w:ascii="David" w:hAnsi="David" w:cs="David" w:hint="cs"/>
          <w:sz w:val="24"/>
          <w:szCs w:val="24"/>
          <w:rtl/>
        </w:rPr>
        <w:t xml:space="preserve">אנחנו מדברים למעשה על המקטע האחרון </w:t>
      </w:r>
      <w:r w:rsidR="004E0615">
        <w:rPr>
          <w:rFonts w:ascii="David" w:hAnsi="David" w:cs="David" w:hint="cs"/>
          <w:sz w:val="24"/>
          <w:szCs w:val="24"/>
          <w:rtl/>
        </w:rPr>
        <w:t>של הדיווח הכספי והגילוי אשר כולל :</w:t>
      </w:r>
    </w:p>
    <w:p w:rsidR="004E0615" w:rsidRPr="004E0615" w:rsidRDefault="004E0615" w:rsidP="004E0615">
      <w:pPr>
        <w:pStyle w:val="a7"/>
        <w:numPr>
          <w:ilvl w:val="0"/>
          <w:numId w:val="23"/>
        </w:numPr>
        <w:spacing w:after="120" w:line="360" w:lineRule="auto"/>
        <w:jc w:val="both"/>
        <w:rPr>
          <w:rFonts w:ascii="David" w:hAnsi="David" w:cs="David" w:hint="cs"/>
          <w:b/>
          <w:bCs/>
          <w:sz w:val="24"/>
          <w:szCs w:val="24"/>
          <w:u w:val="single"/>
        </w:rPr>
      </w:pPr>
      <w:r>
        <w:rPr>
          <w:rFonts w:ascii="David" w:hAnsi="David" w:cs="David" w:hint="cs"/>
          <w:b/>
          <w:bCs/>
          <w:sz w:val="24"/>
          <w:szCs w:val="24"/>
          <w:rtl/>
        </w:rPr>
        <w:t xml:space="preserve">איסוף נתונים ממאזן הבוחן וביצוע בדיקות מבססות לנאותות הנתונים שהתקבלו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למשל: בדיקת סבירות , בדיקת התאמות וכדו'</w:t>
      </w:r>
    </w:p>
    <w:p w:rsidR="004E0615" w:rsidRDefault="004E0615" w:rsidP="004E0615">
      <w:pPr>
        <w:pStyle w:val="a7"/>
        <w:numPr>
          <w:ilvl w:val="0"/>
          <w:numId w:val="23"/>
        </w:numPr>
        <w:spacing w:after="120" w:line="360" w:lineRule="auto"/>
        <w:jc w:val="both"/>
        <w:rPr>
          <w:rFonts w:ascii="David" w:hAnsi="David" w:cs="David" w:hint="cs"/>
          <w:b/>
          <w:bCs/>
          <w:sz w:val="24"/>
          <w:szCs w:val="24"/>
          <w:u w:val="single"/>
        </w:rPr>
      </w:pPr>
      <w:r>
        <w:rPr>
          <w:rFonts w:ascii="David" w:hAnsi="David" w:cs="David" w:hint="cs"/>
          <w:b/>
          <w:bCs/>
          <w:sz w:val="24"/>
          <w:szCs w:val="24"/>
          <w:rtl/>
        </w:rPr>
        <w:t>בדיקה ויישום המדיניות החשבונאית של התאגיד.</w:t>
      </w:r>
    </w:p>
    <w:p w:rsidR="004E0615" w:rsidRDefault="004E0615" w:rsidP="004E0615">
      <w:pPr>
        <w:pStyle w:val="a7"/>
        <w:numPr>
          <w:ilvl w:val="0"/>
          <w:numId w:val="23"/>
        </w:numPr>
        <w:spacing w:after="120" w:line="360" w:lineRule="auto"/>
        <w:jc w:val="both"/>
        <w:rPr>
          <w:rFonts w:ascii="David" w:hAnsi="David" w:cs="David" w:hint="cs"/>
          <w:b/>
          <w:bCs/>
          <w:sz w:val="24"/>
          <w:szCs w:val="24"/>
          <w:u w:val="single"/>
        </w:rPr>
      </w:pPr>
      <w:r>
        <w:rPr>
          <w:rFonts w:ascii="David" w:hAnsi="David" w:cs="David" w:hint="cs"/>
          <w:b/>
          <w:bCs/>
          <w:sz w:val="24"/>
          <w:szCs w:val="24"/>
          <w:rtl/>
        </w:rPr>
        <w:t xml:space="preserve">ביצוע התאמות לצורך עריכת הדוכ"ס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למשל: בעת איחוד דוכ"ס. </w:t>
      </w:r>
    </w:p>
    <w:p w:rsidR="003741D3" w:rsidRPr="004E0615" w:rsidRDefault="003741D3" w:rsidP="003741D3">
      <w:pPr>
        <w:pStyle w:val="a7"/>
        <w:numPr>
          <w:ilvl w:val="0"/>
          <w:numId w:val="20"/>
        </w:numPr>
        <w:spacing w:after="120" w:line="360" w:lineRule="auto"/>
        <w:jc w:val="both"/>
        <w:rPr>
          <w:rFonts w:ascii="David" w:hAnsi="David" w:cs="David" w:hint="cs"/>
          <w:b/>
          <w:bCs/>
          <w:sz w:val="24"/>
          <w:szCs w:val="24"/>
        </w:rPr>
      </w:pPr>
      <w:r>
        <w:rPr>
          <w:rFonts w:ascii="David" w:hAnsi="David" w:cs="David" w:hint="cs"/>
          <w:b/>
          <w:bCs/>
          <w:sz w:val="24"/>
          <w:szCs w:val="24"/>
          <w:u w:val="single"/>
          <w:rtl/>
        </w:rPr>
        <w:lastRenderedPageBreak/>
        <w:t xml:space="preserve">בקרות כלליות על מערכות המידע </w:t>
      </w:r>
      <w:r>
        <w:rPr>
          <w:rFonts w:ascii="David" w:hAnsi="David" w:cs="David" w:hint="cs"/>
          <w:b/>
          <w:bCs/>
          <w:sz w:val="24"/>
          <w:szCs w:val="24"/>
          <w:u w:val="single"/>
        </w:rPr>
        <w:t>ITGF</w:t>
      </w:r>
      <w:r>
        <w:rPr>
          <w:rFonts w:ascii="David" w:hAnsi="David" w:cs="David" w:hint="cs"/>
          <w:b/>
          <w:bCs/>
          <w:sz w:val="24"/>
          <w:szCs w:val="24"/>
          <w:u w:val="single"/>
          <w:rtl/>
        </w:rPr>
        <w:t xml:space="preserve">- </w:t>
      </w:r>
      <w:r w:rsidR="004E0615">
        <w:rPr>
          <w:rFonts w:ascii="David" w:hAnsi="David" w:cs="David" w:hint="cs"/>
          <w:sz w:val="24"/>
          <w:szCs w:val="24"/>
          <w:rtl/>
        </w:rPr>
        <w:t>מערכות המידע מהוות חלק מרכזי ובלתי נפרד בתהליך הדיווח של התאגיד. לפיכך נדרשת התייחסות מיוחדת עליהן במסגרת תהליך הערכת אפקטיביות הבקרה הפנימית . כך למשל: על ההנהלה לבחון הרשאות גישה למערכת הכספים וביצוע שי</w:t>
      </w:r>
      <w:r w:rsidR="004E0615" w:rsidRPr="004E0615">
        <w:rPr>
          <w:rFonts w:ascii="David" w:hAnsi="David" w:cs="David" w:hint="cs"/>
          <w:sz w:val="24"/>
          <w:szCs w:val="24"/>
          <w:rtl/>
        </w:rPr>
        <w:t xml:space="preserve">נויים במערכת המחשוב לגיבוי ושחזור מידע. </w:t>
      </w:r>
    </w:p>
    <w:p w:rsidR="004E0615" w:rsidRPr="004E0615" w:rsidRDefault="004E0615" w:rsidP="004E0615">
      <w:pPr>
        <w:pStyle w:val="a7"/>
        <w:spacing w:after="120" w:line="360" w:lineRule="auto"/>
        <w:jc w:val="both"/>
        <w:rPr>
          <w:rFonts w:ascii="David" w:hAnsi="David" w:cs="David"/>
          <w:b/>
          <w:bCs/>
          <w:sz w:val="24"/>
          <w:szCs w:val="24"/>
        </w:rPr>
      </w:pPr>
      <w:r w:rsidRPr="004E0615">
        <w:rPr>
          <w:rFonts w:ascii="David" w:hAnsi="David" w:cs="David" w:hint="cs"/>
          <w:b/>
          <w:bCs/>
          <w:sz w:val="24"/>
          <w:szCs w:val="24"/>
          <w:rtl/>
        </w:rPr>
        <w:t xml:space="preserve">סעיפים 1,2 ו-3 רק המרכיב הרביעי משתנה כלומר, בכל חברה נמצא בו תהליכים שונים המהותיים לדיווח הכספי . </w:t>
      </w:r>
    </w:p>
    <w:p w:rsidR="003741D3" w:rsidRPr="004E0615" w:rsidRDefault="003741D3" w:rsidP="003741D3">
      <w:pPr>
        <w:pStyle w:val="a7"/>
        <w:numPr>
          <w:ilvl w:val="0"/>
          <w:numId w:val="20"/>
        </w:numPr>
        <w:spacing w:after="120" w:line="360" w:lineRule="auto"/>
        <w:jc w:val="both"/>
        <w:rPr>
          <w:rFonts w:ascii="David" w:hAnsi="David" w:cs="David"/>
          <w:b/>
          <w:bCs/>
          <w:sz w:val="24"/>
          <w:szCs w:val="24"/>
          <w:u w:val="single"/>
        </w:rPr>
      </w:pPr>
      <w:r>
        <w:rPr>
          <w:rFonts w:ascii="David" w:hAnsi="David" w:cs="David" w:hint="cs"/>
          <w:b/>
          <w:bCs/>
          <w:color w:val="FF0000"/>
          <w:sz w:val="24"/>
          <w:szCs w:val="24"/>
          <w:u w:val="single"/>
          <w:rtl/>
        </w:rPr>
        <w:t xml:space="preserve">תהליכים </w:t>
      </w:r>
      <w:r>
        <w:rPr>
          <w:rFonts w:ascii="David" w:hAnsi="David" w:cs="David" w:hint="cs"/>
          <w:b/>
          <w:bCs/>
          <w:color w:val="FF0000"/>
          <w:sz w:val="24"/>
          <w:szCs w:val="24"/>
          <w:rtl/>
        </w:rPr>
        <w:t xml:space="preserve">מהותיים מאד לדיווח הכספי </w:t>
      </w:r>
      <w:r w:rsidR="004E0615">
        <w:rPr>
          <w:rFonts w:ascii="David" w:hAnsi="David" w:cs="David"/>
          <w:b/>
          <w:bCs/>
          <w:color w:val="FF0000"/>
          <w:sz w:val="24"/>
          <w:szCs w:val="24"/>
          <w:rtl/>
        </w:rPr>
        <w:t>–</w:t>
      </w:r>
      <w:r>
        <w:rPr>
          <w:rFonts w:ascii="David" w:hAnsi="David" w:cs="David" w:hint="cs"/>
          <w:b/>
          <w:bCs/>
          <w:color w:val="FF0000"/>
          <w:sz w:val="24"/>
          <w:szCs w:val="24"/>
          <w:rtl/>
        </w:rPr>
        <w:t xml:space="preserve"> </w:t>
      </w:r>
    </w:p>
    <w:p w:rsidR="004E0615" w:rsidRDefault="004E0615" w:rsidP="004E0615">
      <w:pPr>
        <w:pStyle w:val="a7"/>
        <w:spacing w:after="120" w:line="360" w:lineRule="auto"/>
        <w:jc w:val="both"/>
        <w:rPr>
          <w:rFonts w:ascii="David" w:hAnsi="David" w:cs="David"/>
          <w:sz w:val="24"/>
          <w:szCs w:val="24"/>
          <w:rtl/>
        </w:rPr>
      </w:pPr>
      <w:r w:rsidRPr="004E0615">
        <w:rPr>
          <w:rFonts w:ascii="David" w:hAnsi="David" w:cs="David" w:hint="cs"/>
          <w:b/>
          <w:bCs/>
          <w:sz w:val="24"/>
          <w:szCs w:val="24"/>
          <w:rtl/>
        </w:rPr>
        <w:t>"</w:t>
      </w:r>
      <w:r>
        <w:rPr>
          <w:rFonts w:ascii="David" w:hAnsi="David" w:cs="David" w:hint="cs"/>
          <w:b/>
          <w:bCs/>
          <w:sz w:val="24"/>
          <w:szCs w:val="24"/>
          <w:rtl/>
        </w:rPr>
        <w:t>תהליך</w:t>
      </w:r>
      <w:r w:rsidRPr="004E0615">
        <w:rPr>
          <w:rFonts w:ascii="David" w:hAnsi="David" w:cs="David" w:hint="cs"/>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"רצף פעולות המבוצעות ע"י גורמים בתאגיד או באמצעות מערכות מידע מרגע האירוע ועד למתן הביטוי בדו"חות התאגיד". </w:t>
      </w:r>
    </w:p>
    <w:p w:rsidR="004E0615" w:rsidRDefault="004E0615" w:rsidP="00E979E2">
      <w:pPr>
        <w:pStyle w:val="a7"/>
        <w:spacing w:after="120" w:line="360" w:lineRule="auto"/>
        <w:jc w:val="both"/>
        <w:rPr>
          <w:rFonts w:ascii="David" w:hAnsi="David" w:cs="David"/>
          <w:sz w:val="24"/>
          <w:szCs w:val="24"/>
          <w:rtl/>
        </w:rPr>
      </w:pPr>
      <w:r w:rsidRPr="004E0615">
        <w:rPr>
          <w:rFonts w:ascii="David" w:hAnsi="David" w:cs="David" w:hint="cs"/>
          <w:sz w:val="24"/>
          <w:szCs w:val="24"/>
          <w:rtl/>
        </w:rPr>
        <w:t xml:space="preserve">תהליכים מהותיים מאד לדיווח הכספי והגילוי נקבעים ע"י ההנהלה עפ"י קריטריונים שקובעת ההנהלה ועשויים להיות . למשל : תהליך המכירות , תהליך השכר, תהליך </w:t>
      </w:r>
      <w:r>
        <w:rPr>
          <w:rFonts w:ascii="David" w:hAnsi="David" w:cs="David" w:hint="cs"/>
          <w:sz w:val="24"/>
          <w:szCs w:val="24"/>
          <w:rtl/>
        </w:rPr>
        <w:t>המלאי, תהליך ההשקעות בנדל"ן</w:t>
      </w:r>
      <w:r w:rsidR="00E979E2">
        <w:rPr>
          <w:rFonts w:ascii="David" w:hAnsi="David" w:cs="David" w:hint="cs"/>
          <w:sz w:val="24"/>
          <w:szCs w:val="24"/>
          <w:rtl/>
        </w:rPr>
        <w:t xml:space="preserve"> (חשוב לציין שהכוונה פה רק לחברת נדל"ן ולא בחברה רגילה שמחליטה לבנות)</w:t>
      </w:r>
      <w:r>
        <w:rPr>
          <w:rFonts w:ascii="David" w:hAnsi="David" w:cs="David" w:hint="cs"/>
          <w:sz w:val="24"/>
          <w:szCs w:val="24"/>
          <w:rtl/>
        </w:rPr>
        <w:t xml:space="preserve"> וכן הלאה. </w:t>
      </w:r>
    </w:p>
    <w:p w:rsidR="00E979E2" w:rsidRDefault="00E979E2" w:rsidP="00E979E2">
      <w:pPr>
        <w:pStyle w:val="a7"/>
        <w:spacing w:after="120" w:line="360" w:lineRule="auto"/>
        <w:jc w:val="both"/>
        <w:rPr>
          <w:rFonts w:ascii="David" w:hAnsi="David" w:cs="David"/>
          <w:sz w:val="24"/>
          <w:szCs w:val="24"/>
          <w:rtl/>
        </w:rPr>
      </w:pPr>
      <w:r>
        <w:rPr>
          <w:rFonts w:ascii="David" w:hAnsi="David" w:cs="David" w:hint="cs"/>
          <w:b/>
          <w:bCs/>
          <w:sz w:val="24"/>
          <w:szCs w:val="24"/>
          <w:rtl/>
        </w:rPr>
        <w:t xml:space="preserve">שלב זיהי התהליכים המהותיים מאד בתאגיד הוא חשוב ביותר, ובעל השפעה מכרעת על תהליך הערכת האפקטיביות של הבקרה הפנימית! </w:t>
      </w:r>
      <w:r>
        <w:rPr>
          <w:rFonts w:ascii="David" w:hAnsi="David" w:cs="David"/>
          <w:b/>
          <w:bCs/>
          <w:sz w:val="24"/>
          <w:szCs w:val="24"/>
          <w:rtl/>
        </w:rPr>
        <w:t>–</w:t>
      </w:r>
      <w:r>
        <w:rPr>
          <w:rFonts w:ascii="David" w:hAnsi="David" w:cs="David" w:hint="cs"/>
          <w:b/>
          <w:bCs/>
          <w:sz w:val="24"/>
          <w:szCs w:val="24"/>
          <w:rtl/>
        </w:rPr>
        <w:t xml:space="preserve"> </w:t>
      </w:r>
      <w:r>
        <w:rPr>
          <w:rFonts w:ascii="David" w:hAnsi="David" w:cs="David" w:hint="cs"/>
          <w:sz w:val="24"/>
          <w:szCs w:val="24"/>
          <w:rtl/>
        </w:rPr>
        <w:t xml:space="preserve">על ההנהלה למפות את אותם תהליכים הנוגעים לפריטי דיווח כספי וגילוי שנמצאו כבעלי סיכון גבוה להצגה מוטעית מהותית . כמו"כ על התאגיד לשקול את הסיכון להצגה מוטעית מהותית על דו"חות התאגיד בכללותם . הרשות לני"ע קבעה בעמדתה כי  </w:t>
      </w:r>
      <w:r w:rsidRPr="00E979E2">
        <w:rPr>
          <w:rFonts w:ascii="David" w:hAnsi="David" w:cs="David" w:hint="cs"/>
          <w:i/>
          <w:iCs/>
          <w:sz w:val="24"/>
          <w:szCs w:val="24"/>
          <w:rtl/>
        </w:rPr>
        <w:t>"</w:t>
      </w:r>
      <w:r>
        <w:rPr>
          <w:rFonts w:ascii="David" w:hAnsi="David" w:cs="David" w:hint="cs"/>
          <w:i/>
          <w:iCs/>
          <w:sz w:val="24"/>
          <w:szCs w:val="24"/>
          <w:rtl/>
        </w:rPr>
        <w:t xml:space="preserve">לא יהיה זה סביר לקבוע כי לא קיים תהליך כלשהו אשר ההנהלה רואה בו תהליך מהותי מאד לדיווח הכספי והגילוי </w:t>
      </w:r>
      <w:r w:rsidRPr="00E979E2">
        <w:rPr>
          <w:rFonts w:ascii="David" w:hAnsi="David" w:cs="David" w:hint="cs"/>
          <w:i/>
          <w:iCs/>
          <w:sz w:val="24"/>
          <w:szCs w:val="24"/>
          <w:rtl/>
        </w:rPr>
        <w:t>"</w:t>
      </w:r>
      <w:r>
        <w:rPr>
          <w:rFonts w:ascii="David" w:hAnsi="David" w:cs="David" w:hint="cs"/>
          <w:sz w:val="24"/>
          <w:szCs w:val="24"/>
          <w:rtl/>
        </w:rPr>
        <w:t xml:space="preserve"> נחזור לנייר עמדה זה בהמשך.</w:t>
      </w:r>
    </w:p>
    <w:p w:rsidR="00637C25" w:rsidRDefault="00637C25" w:rsidP="00E979E2">
      <w:pPr>
        <w:pStyle w:val="a7"/>
        <w:spacing w:after="120" w:line="360" w:lineRule="auto"/>
        <w:jc w:val="both"/>
        <w:rPr>
          <w:rFonts w:ascii="David" w:hAnsi="David" w:cs="David"/>
          <w:sz w:val="24"/>
          <w:szCs w:val="24"/>
          <w:rtl/>
        </w:rPr>
      </w:pPr>
    </w:p>
    <w:p w:rsidR="00637C25" w:rsidRDefault="00637C25" w:rsidP="00E979E2">
      <w:pPr>
        <w:pStyle w:val="a7"/>
        <w:spacing w:after="120" w:line="360" w:lineRule="auto"/>
        <w:jc w:val="both"/>
        <w:rPr>
          <w:rFonts w:ascii="David" w:hAnsi="David" w:cs="David"/>
          <w:sz w:val="24"/>
          <w:szCs w:val="24"/>
          <w:rtl/>
        </w:rPr>
      </w:pPr>
    </w:p>
    <w:p w:rsidR="00637C25" w:rsidRDefault="00637C25" w:rsidP="00E979E2">
      <w:pPr>
        <w:pStyle w:val="a7"/>
        <w:spacing w:after="120" w:line="360" w:lineRule="auto"/>
        <w:jc w:val="both"/>
        <w:rPr>
          <w:rFonts w:ascii="David" w:hAnsi="David" w:cs="David"/>
          <w:sz w:val="24"/>
          <w:szCs w:val="24"/>
          <w:rtl/>
        </w:rPr>
      </w:pPr>
    </w:p>
    <w:p w:rsidR="00637C25" w:rsidRDefault="00637C25" w:rsidP="00E979E2">
      <w:pPr>
        <w:pStyle w:val="a7"/>
        <w:spacing w:after="120" w:line="360" w:lineRule="auto"/>
        <w:jc w:val="both"/>
        <w:rPr>
          <w:rFonts w:ascii="David" w:hAnsi="David" w:cs="David"/>
          <w:sz w:val="24"/>
          <w:szCs w:val="24"/>
          <w:rtl/>
        </w:rPr>
      </w:pPr>
    </w:p>
    <w:p w:rsidR="00637C25" w:rsidRDefault="00637C25" w:rsidP="00E979E2">
      <w:pPr>
        <w:pStyle w:val="a7"/>
        <w:spacing w:after="120" w:line="360" w:lineRule="auto"/>
        <w:jc w:val="both"/>
        <w:rPr>
          <w:rFonts w:ascii="David" w:hAnsi="David" w:cs="David"/>
          <w:sz w:val="24"/>
          <w:szCs w:val="24"/>
          <w:rtl/>
        </w:rPr>
      </w:pPr>
    </w:p>
    <w:p w:rsidR="00637C25" w:rsidRDefault="00637C25" w:rsidP="00E979E2">
      <w:pPr>
        <w:pStyle w:val="a7"/>
        <w:spacing w:after="120" w:line="360" w:lineRule="auto"/>
        <w:jc w:val="both"/>
        <w:rPr>
          <w:rFonts w:ascii="David" w:hAnsi="David" w:cs="David"/>
          <w:sz w:val="24"/>
          <w:szCs w:val="24"/>
          <w:rtl/>
        </w:rPr>
      </w:pPr>
    </w:p>
    <w:p w:rsidR="00637C25" w:rsidRDefault="00637C25" w:rsidP="00E979E2">
      <w:pPr>
        <w:pStyle w:val="a7"/>
        <w:spacing w:after="120" w:line="360" w:lineRule="auto"/>
        <w:jc w:val="both"/>
        <w:rPr>
          <w:rFonts w:ascii="David" w:hAnsi="David" w:cs="David"/>
          <w:sz w:val="24"/>
          <w:szCs w:val="24"/>
          <w:rtl/>
        </w:rPr>
      </w:pPr>
    </w:p>
    <w:p w:rsidR="00637C25" w:rsidRDefault="00637C25" w:rsidP="00E979E2">
      <w:pPr>
        <w:pStyle w:val="a7"/>
        <w:spacing w:after="120" w:line="360" w:lineRule="auto"/>
        <w:jc w:val="both"/>
        <w:rPr>
          <w:rFonts w:ascii="David" w:hAnsi="David" w:cs="David"/>
          <w:sz w:val="24"/>
          <w:szCs w:val="24"/>
          <w:rtl/>
        </w:rPr>
      </w:pPr>
    </w:p>
    <w:p w:rsidR="00637C25" w:rsidRDefault="00637C25" w:rsidP="00E979E2">
      <w:pPr>
        <w:pStyle w:val="a7"/>
        <w:spacing w:after="120" w:line="360" w:lineRule="auto"/>
        <w:jc w:val="both"/>
        <w:rPr>
          <w:rFonts w:ascii="David" w:hAnsi="David" w:cs="David"/>
          <w:sz w:val="24"/>
          <w:szCs w:val="24"/>
          <w:rtl/>
        </w:rPr>
      </w:pPr>
    </w:p>
    <w:p w:rsidR="00637C25" w:rsidRDefault="00637C25" w:rsidP="00E979E2">
      <w:pPr>
        <w:pStyle w:val="a7"/>
        <w:spacing w:after="120" w:line="360" w:lineRule="auto"/>
        <w:jc w:val="both"/>
        <w:rPr>
          <w:rFonts w:ascii="David" w:hAnsi="David" w:cs="David"/>
          <w:sz w:val="24"/>
          <w:szCs w:val="24"/>
          <w:rtl/>
        </w:rPr>
      </w:pPr>
    </w:p>
    <w:p w:rsidR="00637C25" w:rsidRDefault="00637C25" w:rsidP="00E979E2">
      <w:pPr>
        <w:pStyle w:val="a7"/>
        <w:spacing w:after="120" w:line="360" w:lineRule="auto"/>
        <w:jc w:val="both"/>
        <w:rPr>
          <w:rFonts w:ascii="David" w:hAnsi="David" w:cs="David"/>
          <w:sz w:val="24"/>
          <w:szCs w:val="24"/>
          <w:rtl/>
        </w:rPr>
      </w:pPr>
    </w:p>
    <w:p w:rsidR="00637C25" w:rsidRDefault="00637C25" w:rsidP="00E979E2">
      <w:pPr>
        <w:pStyle w:val="a7"/>
        <w:spacing w:after="120" w:line="360" w:lineRule="auto"/>
        <w:jc w:val="both"/>
        <w:rPr>
          <w:rFonts w:ascii="David" w:hAnsi="David" w:cs="David"/>
          <w:sz w:val="24"/>
          <w:szCs w:val="24"/>
          <w:rtl/>
        </w:rPr>
      </w:pPr>
    </w:p>
    <w:p w:rsidR="00637C25" w:rsidRDefault="00637C25" w:rsidP="00E979E2">
      <w:pPr>
        <w:pStyle w:val="a7"/>
        <w:spacing w:after="120" w:line="360" w:lineRule="auto"/>
        <w:jc w:val="both"/>
        <w:rPr>
          <w:rFonts w:ascii="David" w:hAnsi="David" w:cs="David"/>
          <w:sz w:val="24"/>
          <w:szCs w:val="24"/>
          <w:rtl/>
        </w:rPr>
      </w:pPr>
    </w:p>
    <w:p w:rsidR="00637C25" w:rsidRDefault="00637C25" w:rsidP="00E979E2">
      <w:pPr>
        <w:pStyle w:val="a7"/>
        <w:spacing w:after="120" w:line="360" w:lineRule="auto"/>
        <w:jc w:val="both"/>
        <w:rPr>
          <w:rFonts w:ascii="David" w:hAnsi="David" w:cs="David"/>
          <w:sz w:val="24"/>
          <w:szCs w:val="24"/>
          <w:rtl/>
        </w:rPr>
      </w:pPr>
    </w:p>
    <w:p w:rsidR="00637C25" w:rsidRDefault="00637C25" w:rsidP="00E979E2">
      <w:pPr>
        <w:pStyle w:val="a7"/>
        <w:spacing w:after="120" w:line="360" w:lineRule="auto"/>
        <w:jc w:val="both"/>
        <w:rPr>
          <w:rFonts w:ascii="David" w:hAnsi="David" w:cs="David"/>
          <w:sz w:val="24"/>
          <w:szCs w:val="24"/>
          <w:rtl/>
        </w:rPr>
      </w:pPr>
    </w:p>
    <w:p w:rsidR="00637C25" w:rsidRDefault="00637C25" w:rsidP="00E979E2">
      <w:pPr>
        <w:pStyle w:val="a7"/>
        <w:spacing w:after="120" w:line="360" w:lineRule="auto"/>
        <w:jc w:val="both"/>
        <w:rPr>
          <w:rFonts w:ascii="David" w:hAnsi="David" w:cs="David"/>
          <w:sz w:val="24"/>
          <w:szCs w:val="24"/>
          <w:rtl/>
        </w:rPr>
      </w:pPr>
    </w:p>
    <w:p w:rsidR="00637C25" w:rsidRDefault="00637C25" w:rsidP="00E979E2">
      <w:pPr>
        <w:pStyle w:val="a7"/>
        <w:spacing w:after="120" w:line="360" w:lineRule="auto"/>
        <w:jc w:val="both"/>
        <w:rPr>
          <w:rFonts w:ascii="David" w:hAnsi="David" w:cs="David"/>
          <w:sz w:val="24"/>
          <w:szCs w:val="24"/>
          <w:rtl/>
        </w:rPr>
      </w:pPr>
    </w:p>
    <w:p w:rsidR="00637C25" w:rsidRDefault="00637C25" w:rsidP="00E979E2">
      <w:pPr>
        <w:pStyle w:val="a7"/>
        <w:spacing w:after="120" w:line="360" w:lineRule="auto"/>
        <w:jc w:val="both"/>
        <w:rPr>
          <w:rFonts w:ascii="David" w:hAnsi="David" w:cs="David"/>
          <w:sz w:val="24"/>
          <w:szCs w:val="24"/>
          <w:rtl/>
        </w:rPr>
      </w:pPr>
    </w:p>
    <w:p w:rsidR="00637C25" w:rsidRDefault="00637C25" w:rsidP="00E979E2">
      <w:pPr>
        <w:pStyle w:val="a7"/>
        <w:spacing w:after="120" w:line="360" w:lineRule="auto"/>
        <w:jc w:val="both"/>
        <w:rPr>
          <w:rFonts w:ascii="David" w:hAnsi="David" w:cs="David" w:hint="cs"/>
          <w:sz w:val="24"/>
          <w:szCs w:val="24"/>
          <w:rtl/>
        </w:rPr>
      </w:pPr>
    </w:p>
    <w:p w:rsidR="00E979E2" w:rsidRPr="00637C25" w:rsidRDefault="00E979E2" w:rsidP="00637C25">
      <w:pPr>
        <w:spacing w:after="120" w:line="360" w:lineRule="auto"/>
        <w:jc w:val="center"/>
        <w:rPr>
          <w:rFonts w:ascii="David" w:hAnsi="David" w:cs="David" w:hint="cs"/>
          <w:b/>
          <w:bCs/>
          <w:color w:val="C00000"/>
          <w:sz w:val="28"/>
          <w:szCs w:val="28"/>
          <w:u w:val="single"/>
          <w:rtl/>
        </w:rPr>
      </w:pPr>
      <w:r w:rsidRPr="00637C25">
        <w:rPr>
          <w:rFonts w:ascii="David" w:hAnsi="David" w:cs="David" w:hint="cs"/>
          <w:b/>
          <w:bCs/>
          <w:color w:val="C00000"/>
          <w:sz w:val="28"/>
          <w:szCs w:val="28"/>
          <w:u w:val="single"/>
          <w:rtl/>
        </w:rPr>
        <w:lastRenderedPageBreak/>
        <w:t>היבטי רו"ח המבקר תקני בי</w:t>
      </w:r>
      <w:r w:rsidR="00637C25">
        <w:rPr>
          <w:rFonts w:ascii="David" w:hAnsi="David" w:cs="David" w:hint="cs"/>
          <w:b/>
          <w:bCs/>
          <w:color w:val="C00000"/>
          <w:sz w:val="28"/>
          <w:szCs w:val="28"/>
          <w:u w:val="single"/>
          <w:rtl/>
        </w:rPr>
        <w:t xml:space="preserve">קורת 103 ו-104 על תיקוניהם </w:t>
      </w:r>
    </w:p>
    <w:p w:rsidR="00E979E2" w:rsidRDefault="00E979E2" w:rsidP="00E979E2">
      <w:pPr>
        <w:spacing w:after="120" w:line="360" w:lineRule="auto"/>
        <w:jc w:val="both"/>
        <w:rPr>
          <w:rFonts w:ascii="David" w:hAnsi="David" w:cs="David"/>
          <w:sz w:val="24"/>
          <w:szCs w:val="24"/>
          <w:rtl/>
        </w:rPr>
      </w:pPr>
      <w:r>
        <w:rPr>
          <w:rFonts w:ascii="David" w:hAnsi="David" w:cs="David" w:hint="cs"/>
          <w:sz w:val="24"/>
          <w:szCs w:val="24"/>
          <w:rtl/>
        </w:rPr>
        <w:t>תקן ביקורת 103 מנחה את רו"ח המבקרים של תאגידים בנקאיים, חברות כרטיסי אשראי , חברות ממשלתיות מסוימות וגופים מוסדיים כמו חברות ביטוח וקופת"ג לביקורת של בקר</w:t>
      </w:r>
      <w:r w:rsidRPr="00E979E2">
        <w:rPr>
          <w:rFonts w:ascii="David" w:hAnsi="David" w:cs="David" w:hint="cs"/>
          <w:sz w:val="24"/>
          <w:szCs w:val="24"/>
          <w:rtl/>
        </w:rPr>
        <w:t>ה פנימית על כלל התהליכים המהותיים בקשר עם הדיווח הכספי כביקורת משולבת עם הדוכ"ס</w:t>
      </w:r>
      <w:r>
        <w:rPr>
          <w:rFonts w:ascii="David" w:hAnsi="David" w:cs="David" w:hint="cs"/>
          <w:sz w:val="24"/>
          <w:szCs w:val="24"/>
          <w:rtl/>
        </w:rPr>
        <w:t>. (בבחינת המועצה אין דרישה לת"ב 103 מעבר לרמה הבסיסית עליה מדברים בכיתה)</w:t>
      </w:r>
    </w:p>
    <w:p w:rsidR="00E979E2" w:rsidRDefault="00E979E2" w:rsidP="00E979E2">
      <w:pPr>
        <w:spacing w:after="120" w:line="360" w:lineRule="auto"/>
        <w:jc w:val="both"/>
        <w:rPr>
          <w:rFonts w:ascii="David" w:hAnsi="David" w:cs="David" w:hint="cs"/>
          <w:sz w:val="24"/>
          <w:szCs w:val="24"/>
          <w:rtl/>
        </w:rPr>
      </w:pPr>
      <w:r>
        <w:rPr>
          <w:rFonts w:ascii="David" w:hAnsi="David" w:cs="David" w:hint="cs"/>
          <w:b/>
          <w:bCs/>
          <w:sz w:val="24"/>
          <w:szCs w:val="24"/>
          <w:rtl/>
        </w:rPr>
        <w:t xml:space="preserve">תקן ביקורת 104 </w:t>
      </w:r>
      <w:r>
        <w:rPr>
          <w:rFonts w:ascii="David" w:hAnsi="David" w:cs="David" w:hint="cs"/>
          <w:sz w:val="24"/>
          <w:szCs w:val="24"/>
          <w:rtl/>
        </w:rPr>
        <w:t>בנוסח המשולב על 105, 107 ו-109 (התיקונים שלו) מנחה את רו"ח המבקרים של ח"צ שלא למנות על תאגידים שנכללים בת"ב 103 בביקורת 4 רכיבי בקרה פנימית על הדיווח הכספי והגילוי (</w:t>
      </w:r>
      <w:r>
        <w:rPr>
          <w:rFonts w:ascii="David" w:hAnsi="David" w:cs="David" w:hint="cs"/>
          <w:sz w:val="24"/>
          <w:szCs w:val="24"/>
        </w:rPr>
        <w:t>ISOX</w:t>
      </w:r>
      <w:r>
        <w:rPr>
          <w:rFonts w:ascii="David" w:hAnsi="David" w:cs="David" w:hint="cs"/>
          <w:sz w:val="24"/>
          <w:szCs w:val="24"/>
          <w:rtl/>
        </w:rPr>
        <w:t xml:space="preserve">) . </w:t>
      </w:r>
    </w:p>
    <w:p w:rsidR="00E979E2" w:rsidRDefault="00E979E2" w:rsidP="00E979E2">
      <w:pPr>
        <w:spacing w:after="120" w:line="360" w:lineRule="auto"/>
        <w:jc w:val="both"/>
        <w:rPr>
          <w:rFonts w:ascii="David" w:hAnsi="David" w:cs="David"/>
          <w:b/>
          <w:bCs/>
          <w:sz w:val="24"/>
          <w:szCs w:val="24"/>
          <w:u w:val="single"/>
          <w:rtl/>
        </w:rPr>
      </w:pPr>
      <w:r w:rsidRPr="00E979E2">
        <w:rPr>
          <w:rFonts w:ascii="David" w:hAnsi="David" w:cs="David" w:hint="cs"/>
          <w:b/>
          <w:bCs/>
          <w:color w:val="FF0000"/>
          <w:sz w:val="24"/>
          <w:szCs w:val="24"/>
          <w:u w:val="single"/>
          <w:rtl/>
        </w:rPr>
        <w:t>יש לשים לב שההרצאות שונות . מעכשיו יש שינוי כי כשהתקבל ת"ב 104 היתה בו התייחסות לא ברורה לנושא הגבלה אז נשאלה השאלה "מתי רואים פעולה מסויימת כהגבלה בביקורת ?" ומי שרצה תשובה היה צריך ללכת ל-</w:t>
      </w:r>
      <w:r w:rsidRPr="00E979E2">
        <w:rPr>
          <w:rFonts w:ascii="David" w:hAnsi="David" w:cs="David" w:hint="cs"/>
          <w:b/>
          <w:bCs/>
          <w:color w:val="FF0000"/>
          <w:sz w:val="24"/>
          <w:szCs w:val="24"/>
          <w:u w:val="single"/>
        </w:rPr>
        <w:t>PCAOB</w:t>
      </w:r>
      <w:r w:rsidRPr="00E979E2">
        <w:rPr>
          <w:rFonts w:ascii="David" w:hAnsi="David" w:cs="David" w:hint="cs"/>
          <w:b/>
          <w:bCs/>
          <w:color w:val="FF0000"/>
          <w:sz w:val="24"/>
          <w:szCs w:val="24"/>
          <w:u w:val="single"/>
          <w:rtl/>
        </w:rPr>
        <w:t xml:space="preserve"> ת"ב 104 החדש נתן 6 דוגמאות להגבלה ואז בסוף 2013 הגיע תקן ביקורת 109 ואמר שאם נמנעים יש נוסח הימנעות ומה קורה כשהאם רוכשת בת במהלך השנה . </w:t>
      </w:r>
      <w:r w:rsidRPr="00E979E2">
        <w:rPr>
          <w:rFonts w:ascii="David" w:hAnsi="David" w:cs="David" w:hint="cs"/>
          <w:sz w:val="24"/>
          <w:szCs w:val="24"/>
          <w:u w:val="single"/>
          <w:rtl/>
        </w:rPr>
        <w:t xml:space="preserve"> </w:t>
      </w:r>
      <w:r w:rsidRPr="00E979E2">
        <w:rPr>
          <w:rFonts w:ascii="David" w:hAnsi="David" w:cs="David" w:hint="cs"/>
          <w:b/>
          <w:bCs/>
          <w:sz w:val="24"/>
          <w:szCs w:val="24"/>
          <w:u w:val="single"/>
          <w:rtl/>
        </w:rPr>
        <w:t xml:space="preserve">  </w:t>
      </w:r>
    </w:p>
    <w:p w:rsidR="00E979E2" w:rsidRDefault="00E979E2" w:rsidP="00E979E2">
      <w:pPr>
        <w:spacing w:after="120" w:line="360" w:lineRule="auto"/>
        <w:jc w:val="both"/>
        <w:rPr>
          <w:rFonts w:ascii="David" w:hAnsi="David" w:cs="David"/>
          <w:b/>
          <w:bCs/>
          <w:color w:val="FF0000"/>
          <w:sz w:val="24"/>
          <w:szCs w:val="24"/>
          <w:rtl/>
        </w:rPr>
      </w:pPr>
      <w:r w:rsidRPr="00E979E2">
        <w:rPr>
          <w:rFonts w:ascii="David" w:hAnsi="David" w:cs="David" w:hint="cs"/>
          <w:b/>
          <w:bCs/>
          <w:color w:val="FF0000"/>
          <w:sz w:val="24"/>
          <w:szCs w:val="24"/>
          <w:rtl/>
        </w:rPr>
        <w:t xml:space="preserve">חלק לא מבוטל מבחינות המועצה זה על הפרסומים האחרונים </w:t>
      </w:r>
    </w:p>
    <w:p w:rsidR="00E979E2" w:rsidRDefault="00E979E2" w:rsidP="00E979E2">
      <w:pPr>
        <w:spacing w:after="120" w:line="360" w:lineRule="auto"/>
        <w:jc w:val="both"/>
        <w:rPr>
          <w:rFonts w:ascii="David" w:hAnsi="David" w:cs="David" w:hint="cs"/>
          <w:b/>
          <w:bCs/>
          <w:sz w:val="24"/>
          <w:szCs w:val="24"/>
          <w:rtl/>
        </w:rPr>
      </w:pPr>
      <w:r>
        <w:rPr>
          <w:rFonts w:ascii="David" w:hAnsi="David" w:cs="David" w:hint="cs"/>
          <w:b/>
          <w:bCs/>
          <w:sz w:val="24"/>
          <w:szCs w:val="24"/>
          <w:rtl/>
        </w:rPr>
        <w:t>תקן ביקורת 104 +105 +107 +109 .</w:t>
      </w:r>
    </w:p>
    <w:p w:rsidR="00637C25" w:rsidRDefault="00E979E2" w:rsidP="00637C25">
      <w:pPr>
        <w:spacing w:after="120" w:line="360" w:lineRule="auto"/>
        <w:jc w:val="both"/>
        <w:rPr>
          <w:rFonts w:ascii="David" w:hAnsi="David" w:cs="David"/>
          <w:sz w:val="24"/>
          <w:szCs w:val="24"/>
          <w:rtl/>
        </w:rPr>
      </w:pPr>
      <w:r>
        <w:rPr>
          <w:rFonts w:ascii="David" w:hAnsi="David" w:cs="David" w:hint="cs"/>
          <w:sz w:val="24"/>
          <w:szCs w:val="24"/>
          <w:rtl/>
        </w:rPr>
        <w:t xml:space="preserve">תקן ביקורת 105 </w:t>
      </w:r>
      <w:r>
        <w:rPr>
          <w:rFonts w:ascii="David" w:hAnsi="David" w:cs="David"/>
          <w:sz w:val="24"/>
          <w:szCs w:val="24"/>
          <w:rtl/>
        </w:rPr>
        <w:t>–</w:t>
      </w:r>
      <w:r>
        <w:rPr>
          <w:rFonts w:ascii="David" w:hAnsi="David" w:cs="David" w:hint="cs"/>
          <w:sz w:val="24"/>
          <w:szCs w:val="24"/>
          <w:rtl/>
        </w:rPr>
        <w:t xml:space="preserve"> קובע איך התקינה רוצה שחברות יישמו את ה-</w:t>
      </w:r>
      <w:r>
        <w:rPr>
          <w:rFonts w:ascii="David" w:hAnsi="David" w:cs="David" w:hint="cs"/>
          <w:sz w:val="24"/>
          <w:szCs w:val="24"/>
        </w:rPr>
        <w:t>ISOX</w:t>
      </w:r>
      <w:r>
        <w:rPr>
          <w:rFonts w:ascii="David" w:hAnsi="David" w:cs="David" w:hint="cs"/>
          <w:sz w:val="24"/>
          <w:szCs w:val="24"/>
          <w:rtl/>
        </w:rPr>
        <w:t xml:space="preserve"> לשכת רו"ח פנתה לרשות לני"ע כדי לתת לרו"ח תקן ביקורת לביצוע ה-</w:t>
      </w:r>
      <w:r>
        <w:rPr>
          <w:rFonts w:ascii="David" w:hAnsi="David" w:cs="David" w:hint="cs"/>
          <w:sz w:val="24"/>
          <w:szCs w:val="24"/>
        </w:rPr>
        <w:t>ISOX</w:t>
      </w:r>
      <w:r>
        <w:rPr>
          <w:rFonts w:ascii="David" w:hAnsi="David" w:cs="David" w:hint="cs"/>
          <w:sz w:val="24"/>
          <w:szCs w:val="24"/>
          <w:rtl/>
        </w:rPr>
        <w:t xml:space="preserve"> , הרשות לני"ע מבינה שהיא יכולה להקים את ה-</w:t>
      </w:r>
      <w:r>
        <w:rPr>
          <w:rFonts w:ascii="David" w:hAnsi="David" w:cs="David" w:hint="cs"/>
          <w:sz w:val="24"/>
          <w:szCs w:val="24"/>
        </w:rPr>
        <w:t>PCAOB</w:t>
      </w:r>
      <w:r>
        <w:rPr>
          <w:rFonts w:ascii="David" w:hAnsi="David" w:cs="David" w:hint="cs"/>
          <w:sz w:val="24"/>
          <w:szCs w:val="24"/>
          <w:rtl/>
        </w:rPr>
        <w:t xml:space="preserve"> </w:t>
      </w:r>
      <w:r w:rsidR="00637C25">
        <w:rPr>
          <w:rFonts w:ascii="David" w:hAnsi="David" w:cs="David" w:hint="cs"/>
          <w:sz w:val="24"/>
          <w:szCs w:val="24"/>
          <w:rtl/>
        </w:rPr>
        <w:t>בישראל שהוא יפרסם את תקני הביקורת. הרשות לני"ע המשיכה להתחמק מקביעת תקן ביקורת קבוע בנושא ה-</w:t>
      </w:r>
      <w:r w:rsidR="00637C25">
        <w:rPr>
          <w:rFonts w:ascii="David" w:hAnsi="David" w:cs="David" w:hint="cs"/>
          <w:sz w:val="24"/>
          <w:szCs w:val="24"/>
        </w:rPr>
        <w:t>SOX</w:t>
      </w:r>
      <w:r w:rsidR="00637C25">
        <w:rPr>
          <w:rFonts w:ascii="David" w:hAnsi="David" w:cs="David" w:hint="cs"/>
          <w:sz w:val="24"/>
          <w:szCs w:val="24"/>
          <w:rtl/>
        </w:rPr>
        <w:t xml:space="preserve"> ולכן </w:t>
      </w:r>
      <w:r>
        <w:rPr>
          <w:rFonts w:ascii="David" w:hAnsi="David" w:cs="David" w:hint="cs"/>
          <w:sz w:val="24"/>
          <w:szCs w:val="24"/>
          <w:rtl/>
        </w:rPr>
        <w:t>רק ב-02/14 פורסם ת"ב</w:t>
      </w:r>
      <w:r w:rsidR="00637C25">
        <w:rPr>
          <w:rFonts w:ascii="David" w:hAnsi="David" w:cs="David" w:hint="cs"/>
          <w:sz w:val="24"/>
          <w:szCs w:val="24"/>
          <w:rtl/>
        </w:rPr>
        <w:t xml:space="preserve"> 105 שבסך הכל מאריך בשנה את התוקף של ת"ב 104 (שהיה תקף לשנה) בשנה נוספת ובמקביל מתפרסמים ת"</w:t>
      </w:r>
      <w:r w:rsidR="001A070A">
        <w:rPr>
          <w:rFonts w:ascii="David" w:hAnsi="David" w:cs="David" w:hint="cs"/>
          <w:sz w:val="24"/>
          <w:szCs w:val="24"/>
          <w:rtl/>
        </w:rPr>
        <w:t>ב 107 שקובע את הה</w:t>
      </w:r>
      <w:r w:rsidR="00637C25">
        <w:rPr>
          <w:rFonts w:ascii="David" w:hAnsi="David" w:cs="David" w:hint="cs"/>
          <w:sz w:val="24"/>
          <w:szCs w:val="24"/>
          <w:rtl/>
        </w:rPr>
        <w:t xml:space="preserve">גבלות ונותן 6 דוגמאות ות"ב 109 שנותן את הנוסח של ההגבלה . כיום קיים נוסח משולב שמאגד בתוכו את ת"ב 104 + 105 + 107 + 109 . </w:t>
      </w:r>
    </w:p>
    <w:p w:rsidR="00637C25" w:rsidRDefault="00637C25" w:rsidP="00637C25">
      <w:pPr>
        <w:spacing w:after="120" w:line="360" w:lineRule="auto"/>
        <w:jc w:val="both"/>
        <w:rPr>
          <w:rFonts w:ascii="David" w:hAnsi="David" w:cs="David" w:hint="cs"/>
          <w:sz w:val="24"/>
          <w:szCs w:val="24"/>
          <w:rtl/>
        </w:rPr>
      </w:pPr>
      <w:r>
        <w:rPr>
          <w:rFonts w:ascii="David" w:hAnsi="David" w:cs="David" w:hint="cs"/>
          <w:b/>
          <w:bCs/>
          <w:sz w:val="24"/>
          <w:szCs w:val="24"/>
          <w:rtl/>
        </w:rPr>
        <w:t xml:space="preserve">תקן ביקורת 104 </w:t>
      </w:r>
      <w:r>
        <w:rPr>
          <w:rFonts w:ascii="David" w:hAnsi="David" w:cs="David" w:hint="cs"/>
          <w:sz w:val="24"/>
          <w:szCs w:val="24"/>
          <w:rtl/>
        </w:rPr>
        <w:t>קובע כי על רו"ח המבקר לזהות את רכיבי הבקרה שיבוקרו ולהשיג מידה סבירה של ביטחון בשאלה : "האם רכיבי בקרה אלה קוימו באופן אפקטיבי מכל הבחינות המהותיות?".</w:t>
      </w:r>
    </w:p>
    <w:p w:rsidR="00637C25" w:rsidRDefault="00637C25" w:rsidP="00637C25">
      <w:pPr>
        <w:spacing w:after="120" w:line="360" w:lineRule="auto"/>
        <w:jc w:val="both"/>
        <w:rPr>
          <w:rFonts w:ascii="David" w:hAnsi="David" w:cs="David"/>
          <w:sz w:val="24"/>
          <w:szCs w:val="24"/>
          <w:rtl/>
        </w:rPr>
      </w:pPr>
      <w:r>
        <w:rPr>
          <w:rFonts w:ascii="David" w:hAnsi="David" w:cs="David" w:hint="cs"/>
          <w:sz w:val="24"/>
          <w:szCs w:val="24"/>
          <w:rtl/>
        </w:rPr>
        <w:t>ביקורת עפ"י ת"ב 104 צ"ל בהיקף נמוך משמעות בהשוואה להוראות ה-</w:t>
      </w:r>
      <w:r>
        <w:rPr>
          <w:rFonts w:ascii="David" w:hAnsi="David" w:cs="David" w:hint="cs"/>
          <w:sz w:val="24"/>
          <w:szCs w:val="24"/>
        </w:rPr>
        <w:t>SOX</w:t>
      </w:r>
      <w:r>
        <w:rPr>
          <w:rFonts w:ascii="David" w:hAnsi="David" w:cs="David" w:hint="cs"/>
          <w:sz w:val="24"/>
          <w:szCs w:val="24"/>
          <w:rtl/>
        </w:rPr>
        <w:t xml:space="preserve"> המלאות. </w:t>
      </w:r>
    </w:p>
    <w:p w:rsidR="00637C25" w:rsidRDefault="00637C25" w:rsidP="00637C25">
      <w:pPr>
        <w:spacing w:after="120" w:line="360" w:lineRule="auto"/>
        <w:jc w:val="both"/>
        <w:rPr>
          <w:rFonts w:ascii="David" w:hAnsi="David" w:cs="David"/>
          <w:sz w:val="24"/>
          <w:szCs w:val="24"/>
          <w:rtl/>
        </w:rPr>
      </w:pPr>
      <w:r>
        <w:rPr>
          <w:rFonts w:ascii="David" w:hAnsi="David" w:cs="David" w:hint="cs"/>
          <w:b/>
          <w:bCs/>
          <w:sz w:val="24"/>
          <w:szCs w:val="24"/>
          <w:rtl/>
        </w:rPr>
        <w:t xml:space="preserve">סעיף 11: </w:t>
      </w:r>
      <w:r>
        <w:rPr>
          <w:rFonts w:ascii="David" w:hAnsi="David" w:cs="David" w:hint="cs"/>
          <w:sz w:val="24"/>
          <w:szCs w:val="24"/>
          <w:rtl/>
        </w:rPr>
        <w:t xml:space="preserve">קובע כי קביעת התהליכים המהותיים מאד לצורך הערכת הדירקטוריון וההנהלה </w:t>
      </w:r>
      <w:r>
        <w:rPr>
          <w:rFonts w:ascii="David" w:hAnsi="David" w:cs="David" w:hint="cs"/>
          <w:sz w:val="24"/>
          <w:szCs w:val="24"/>
          <w:u w:val="single"/>
          <w:rtl/>
        </w:rPr>
        <w:t xml:space="preserve">ליום המאזן </w:t>
      </w:r>
      <w:r>
        <w:rPr>
          <w:rFonts w:ascii="David" w:hAnsi="David" w:cs="David" w:hint="cs"/>
          <w:sz w:val="24"/>
          <w:szCs w:val="24"/>
          <w:rtl/>
        </w:rPr>
        <w:t xml:space="preserve">(לא לשנה) נעשית ע"י כל תאגיד לפי קריטריונים שנראים לו לצורך זה. בהקשר זה תפקידו של רו"ח המבקר הוא לבחון האם קביעת התהליכים המהותיים מאד נעשתה ע"י התאגיד באופן נאות. יש לשים לב כי אנו בוחנים את אפקטיביות הבקרה הפנימית ליום מסוים ולא לתקופה מסוימת רק ליום 31/12 ולא לשנה שהסתיימה באותו תהליך ז"א שחוו"ד מתייחסת ליום מסוים. </w:t>
      </w:r>
    </w:p>
    <w:p w:rsidR="00637C25" w:rsidRDefault="00637C25" w:rsidP="00637C25">
      <w:pPr>
        <w:spacing w:after="120" w:line="360" w:lineRule="auto"/>
        <w:jc w:val="both"/>
        <w:rPr>
          <w:rFonts w:ascii="David" w:hAnsi="David" w:cs="David"/>
          <w:sz w:val="24"/>
          <w:szCs w:val="24"/>
          <w:rtl/>
        </w:rPr>
      </w:pPr>
      <w:r>
        <w:rPr>
          <w:rFonts w:ascii="David" w:hAnsi="David" w:cs="David" w:hint="cs"/>
          <w:sz w:val="24"/>
          <w:szCs w:val="24"/>
          <w:rtl/>
        </w:rPr>
        <w:t xml:space="preserve">לצרוך בחינה זו, יקבל רו"ח המבקר בשלב מוקדם של הביקורת מצב ברור האם הגורמים החותמים על הצהרות שונות בהתאם לתקנות ני"ע, אכן פירטו באופן נאות את הקריטריונים שיישם התאגיד לצורך זה , ואת התהליכים שאותם קבע התאגיד כמהותיים מאד על פי קריטריונים אלה. </w:t>
      </w:r>
    </w:p>
    <w:p w:rsidR="00637C25" w:rsidRDefault="00637C25" w:rsidP="00637C25">
      <w:pPr>
        <w:spacing w:after="120" w:line="360" w:lineRule="auto"/>
        <w:jc w:val="both"/>
        <w:rPr>
          <w:rFonts w:ascii="David" w:hAnsi="David" w:cs="David" w:hint="cs"/>
          <w:sz w:val="24"/>
          <w:szCs w:val="24"/>
          <w:rtl/>
        </w:rPr>
      </w:pPr>
      <w:r w:rsidRPr="00637C25">
        <w:rPr>
          <w:rFonts w:ascii="David" w:hAnsi="David" w:cs="David" w:hint="cs"/>
          <w:b/>
          <w:bCs/>
          <w:sz w:val="24"/>
          <w:szCs w:val="24"/>
          <w:rtl/>
        </w:rPr>
        <w:t>מפה חידוש:</w:t>
      </w:r>
      <w:r w:rsidRPr="00637C25">
        <w:rPr>
          <w:rFonts w:ascii="David" w:hAnsi="David" w:cs="David" w:hint="cs"/>
          <w:sz w:val="24"/>
          <w:szCs w:val="24"/>
          <w:rtl/>
        </w:rPr>
        <w:t xml:space="preserve"> כאשר הקריטריונים שיישם התהליכים הם לא בלתי סבירים בעליל הרי שהקביעה נעשתה ע"י התאגיד באופן נאות והביקורת תתייחס לאותם תהליכים מהותיים מאד שנקבעו ע"י </w:t>
      </w:r>
      <w:r w:rsidRPr="00637C25">
        <w:rPr>
          <w:rFonts w:ascii="David" w:hAnsi="David" w:cs="David" w:hint="cs"/>
          <w:sz w:val="24"/>
          <w:szCs w:val="24"/>
          <w:rtl/>
        </w:rPr>
        <w:lastRenderedPageBreak/>
        <w:t>התאגיד</w:t>
      </w:r>
      <w:r>
        <w:rPr>
          <w:rFonts w:ascii="David" w:hAnsi="David" w:cs="David" w:hint="cs"/>
          <w:sz w:val="24"/>
          <w:szCs w:val="24"/>
          <w:rtl/>
        </w:rPr>
        <w:t>. אך אם המסקנה היא שקביעת התאגיד לא נעשתה באופן נאות יש לפעול לפי סעיף 12 לנוסח המשולב.</w:t>
      </w:r>
    </w:p>
    <w:p w:rsidR="00E979E2" w:rsidRDefault="00637C25" w:rsidP="001A070A">
      <w:pPr>
        <w:spacing w:after="120" w:line="360" w:lineRule="auto"/>
        <w:jc w:val="both"/>
        <w:rPr>
          <w:rFonts w:ascii="David" w:hAnsi="David" w:cs="David"/>
          <w:sz w:val="24"/>
          <w:szCs w:val="24"/>
          <w:rtl/>
        </w:rPr>
      </w:pPr>
      <w:r>
        <w:rPr>
          <w:rFonts w:ascii="David" w:hAnsi="David" w:cs="David" w:hint="cs"/>
          <w:b/>
          <w:bCs/>
          <w:sz w:val="24"/>
          <w:szCs w:val="24"/>
          <w:rtl/>
        </w:rPr>
        <w:t xml:space="preserve">סעיף 12: </w:t>
      </w:r>
      <w:r>
        <w:rPr>
          <w:rFonts w:ascii="David" w:hAnsi="David" w:cs="David" w:hint="cs"/>
          <w:sz w:val="24"/>
          <w:szCs w:val="24"/>
          <w:rtl/>
        </w:rPr>
        <w:t xml:space="preserve">נקבע כי רו"ח המבקר יראה בכ"א מהמצבים הבאים שפורטו בסעיף כהגבלה בביקורת שתוצאתה הימנעות וניסוח ההימנעות ייעשה עפ"י </w:t>
      </w:r>
      <w:r w:rsidRPr="00637C25">
        <w:rPr>
          <w:rFonts w:ascii="David" w:hAnsi="David" w:cs="David" w:hint="cs"/>
          <w:b/>
          <w:bCs/>
          <w:sz w:val="24"/>
          <w:szCs w:val="24"/>
          <w:rtl/>
        </w:rPr>
        <w:t>נספח ד'</w:t>
      </w:r>
      <w:r>
        <w:rPr>
          <w:rFonts w:ascii="David" w:hAnsi="David" w:cs="David" w:hint="cs"/>
          <w:sz w:val="24"/>
          <w:szCs w:val="24"/>
          <w:rtl/>
        </w:rPr>
        <w:t xml:space="preserve"> שהוסף בת"ב 109</w:t>
      </w:r>
      <w:r w:rsidR="00E979E2">
        <w:rPr>
          <w:rFonts w:ascii="David" w:hAnsi="David" w:cs="David" w:hint="cs"/>
          <w:sz w:val="24"/>
          <w:szCs w:val="24"/>
          <w:rtl/>
        </w:rPr>
        <w:t xml:space="preserve"> </w:t>
      </w:r>
      <w:r w:rsidR="001A070A">
        <w:rPr>
          <w:rFonts w:ascii="David" w:hAnsi="David" w:cs="David" w:hint="cs"/>
          <w:sz w:val="24"/>
          <w:szCs w:val="24"/>
          <w:rtl/>
        </w:rPr>
        <w:t xml:space="preserve">כל מצב שמתואר כרגע שמתקיים במציאות מהווה הגבלה בביקורת : </w:t>
      </w:r>
    </w:p>
    <w:p w:rsidR="001A070A" w:rsidRDefault="001A070A" w:rsidP="001A070A">
      <w:pPr>
        <w:pStyle w:val="a7"/>
        <w:numPr>
          <w:ilvl w:val="0"/>
          <w:numId w:val="24"/>
        </w:numPr>
        <w:spacing w:after="120" w:line="360" w:lineRule="auto"/>
        <w:jc w:val="both"/>
        <w:rPr>
          <w:rFonts w:ascii="David" w:hAnsi="David" w:cs="David"/>
          <w:sz w:val="24"/>
          <w:szCs w:val="24"/>
        </w:rPr>
      </w:pPr>
      <w:r>
        <w:rPr>
          <w:rFonts w:ascii="David" w:hAnsi="David" w:cs="David" w:hint="cs"/>
          <w:sz w:val="24"/>
          <w:szCs w:val="24"/>
          <w:rtl/>
        </w:rPr>
        <w:t xml:space="preserve">רו"ח המבקר לא קיבל מהתאגיד מצג ובו פירוט הקריטריונים שיישם התאגיד לצורך קביעת התהליכים המהותיים מאד וכן את פירוט התהליכים אותם קבע התאגיד כמהותיים מאד עפ"י קריטריונים אלה. </w:t>
      </w:r>
    </w:p>
    <w:p w:rsidR="001A070A" w:rsidRDefault="001A070A" w:rsidP="001A070A">
      <w:pPr>
        <w:pStyle w:val="a7"/>
        <w:numPr>
          <w:ilvl w:val="0"/>
          <w:numId w:val="24"/>
        </w:numPr>
        <w:spacing w:after="120" w:line="360" w:lineRule="auto"/>
        <w:jc w:val="both"/>
        <w:rPr>
          <w:rFonts w:ascii="David" w:hAnsi="David" w:cs="David" w:hint="cs"/>
          <w:sz w:val="24"/>
          <w:szCs w:val="24"/>
        </w:rPr>
      </w:pPr>
      <w:r>
        <w:rPr>
          <w:rFonts w:ascii="David" w:hAnsi="David" w:cs="David" w:hint="cs"/>
          <w:sz w:val="24"/>
          <w:szCs w:val="24"/>
          <w:rtl/>
        </w:rPr>
        <w:t>רו"ח המבקר קיבל מהתאגיד את המצג האמור אך המצג שהתקבל אינו ברור.</w:t>
      </w:r>
    </w:p>
    <w:p w:rsidR="001A070A" w:rsidRDefault="001A070A" w:rsidP="001A070A">
      <w:pPr>
        <w:pStyle w:val="a7"/>
        <w:numPr>
          <w:ilvl w:val="0"/>
          <w:numId w:val="24"/>
        </w:numPr>
        <w:spacing w:after="120" w:line="360" w:lineRule="auto"/>
        <w:jc w:val="both"/>
        <w:rPr>
          <w:rFonts w:ascii="David" w:hAnsi="David" w:cs="David" w:hint="cs"/>
          <w:sz w:val="24"/>
          <w:szCs w:val="24"/>
        </w:rPr>
      </w:pPr>
      <w:r>
        <w:rPr>
          <w:rFonts w:ascii="David" w:hAnsi="David" w:cs="David" w:hint="cs"/>
          <w:sz w:val="24"/>
          <w:szCs w:val="24"/>
          <w:rtl/>
        </w:rPr>
        <w:t>הקריטריונים במצג האמור שקיבל רו"ח הם בלתי סבירים בעליל. למשל: החברה קובעת שרק אם ההכנסות עולות על 107 מיליון ₪ תהליך המכירות יהיה תהליך מהותי מאד יש לשים לב כי מחזור ההכנסות לפיו גוזרים 15% כמקובל לא יכול להיות שהמכירות לא יהיו תהליך מהותי מאד</w:t>
      </w:r>
    </w:p>
    <w:p w:rsidR="001A070A" w:rsidRDefault="001A070A" w:rsidP="001A070A">
      <w:pPr>
        <w:pStyle w:val="a7"/>
        <w:numPr>
          <w:ilvl w:val="0"/>
          <w:numId w:val="24"/>
        </w:numPr>
        <w:spacing w:after="120" w:line="360" w:lineRule="auto"/>
        <w:jc w:val="both"/>
        <w:rPr>
          <w:rFonts w:ascii="David" w:hAnsi="David" w:cs="David"/>
          <w:sz w:val="24"/>
          <w:szCs w:val="24"/>
        </w:rPr>
      </w:pPr>
      <w:r>
        <w:rPr>
          <w:rFonts w:ascii="David" w:hAnsi="David" w:cs="David" w:hint="cs"/>
          <w:sz w:val="24"/>
          <w:szCs w:val="24"/>
          <w:rtl/>
        </w:rPr>
        <w:t xml:space="preserve">הקריטריונים שרו"ח קיבל הם לא בלתי סבירים בעליל וקביעת התהליכים המהותיים מאד אפילו נעשה ע"י התאגיד באופן נאות אולם בהערכת הדירקטוריון וההנהלה לא מפורטים כל התהליכים המהותיים מאד לדיווח הכספי. לדוגמא: בהערכת הדירקטוריון וההנהלה לא מפורט תהליך מהותי מאד המתייחס לחברת בת או ליח' עסקית אחרת שהיא מהותית מאד ברמת הדיווח הכספי המאוחד. (חברה בת היא יחידה עסקית עפ"י נייר עמדה של הרשות לני"ע 199-9 והבהרה 1 לת"ב 104 בנוגע ליישום אפקטיביות בקרה פנימית בחברה בת בשנת הרכישה , מ-12/13) </w:t>
      </w:r>
    </w:p>
    <w:p w:rsidR="001A070A" w:rsidRDefault="001A070A" w:rsidP="001A070A">
      <w:pPr>
        <w:pStyle w:val="a7"/>
        <w:numPr>
          <w:ilvl w:val="0"/>
          <w:numId w:val="24"/>
        </w:numPr>
        <w:spacing w:after="120" w:line="360" w:lineRule="auto"/>
        <w:jc w:val="both"/>
        <w:rPr>
          <w:rFonts w:ascii="David" w:hAnsi="David" w:cs="David"/>
          <w:sz w:val="24"/>
          <w:szCs w:val="24"/>
        </w:rPr>
      </w:pPr>
      <w:r>
        <w:rPr>
          <w:rFonts w:ascii="David" w:hAnsi="David" w:cs="David" w:hint="cs"/>
          <w:sz w:val="24"/>
          <w:szCs w:val="24"/>
          <w:rtl/>
        </w:rPr>
        <w:t xml:space="preserve">הקריטריונים המצוינים במצג האמור הם לא בלתי סבירים בעליל אולם רו"ח המבקר הגיע למסקנה כי קביעת התהליכים המהותיים מאד לא נעשתה ע"י התאגיד באופן נאות עפ"י אותם קריטריונים. </w:t>
      </w:r>
    </w:p>
    <w:p w:rsidR="001A070A" w:rsidRDefault="001A070A" w:rsidP="001A070A">
      <w:pPr>
        <w:pStyle w:val="a7"/>
        <w:numPr>
          <w:ilvl w:val="0"/>
          <w:numId w:val="24"/>
        </w:numPr>
        <w:spacing w:after="120" w:line="360" w:lineRule="auto"/>
        <w:jc w:val="both"/>
        <w:rPr>
          <w:rFonts w:ascii="David" w:hAnsi="David" w:cs="David"/>
          <w:sz w:val="24"/>
          <w:szCs w:val="24"/>
        </w:rPr>
      </w:pPr>
      <w:r>
        <w:rPr>
          <w:rFonts w:ascii="David" w:hAnsi="David" w:cs="David" w:hint="cs"/>
          <w:sz w:val="24"/>
          <w:szCs w:val="24"/>
          <w:rtl/>
        </w:rPr>
        <w:t>בהערכת הדירקטוריון וההנהלה לא מפורטים יתר רכיבי הבקרה הפנימית על דיווח כספי שהערכתם נדרשת בהתאם לתקנות ני"ע (דו"חות תקופתיים ומיידים) (מדובר בבקרות ברמת הארגון , בקרות על תהליך עריכת הדו"חות וסגירתם ובקרות כלליות על מ"מ).</w:t>
      </w:r>
    </w:p>
    <w:p w:rsidR="001A070A" w:rsidRDefault="001A070A" w:rsidP="001A070A">
      <w:pPr>
        <w:spacing w:after="120" w:line="360" w:lineRule="auto"/>
        <w:jc w:val="both"/>
        <w:rPr>
          <w:rFonts w:ascii="David" w:hAnsi="David" w:cs="David" w:hint="cs"/>
          <w:sz w:val="24"/>
          <w:szCs w:val="24"/>
          <w:rtl/>
        </w:rPr>
      </w:pPr>
      <w:r>
        <w:rPr>
          <w:rFonts w:ascii="David" w:hAnsi="David" w:cs="David" w:hint="cs"/>
          <w:sz w:val="24"/>
          <w:szCs w:val="24"/>
          <w:rtl/>
        </w:rPr>
        <w:t xml:space="preserve">סעיף 12 כאמור מונה 6 דוגמאות אך זוהי לא רשימה סגורה. ת"ב 109 הוסיף את נוסח ההימנעות בכל המקרים של ההגבלה. </w:t>
      </w:r>
    </w:p>
    <w:p w:rsidR="00822921" w:rsidRDefault="001A070A" w:rsidP="001A070A">
      <w:pPr>
        <w:spacing w:after="120" w:line="360" w:lineRule="auto"/>
        <w:jc w:val="both"/>
        <w:rPr>
          <w:rFonts w:ascii="David" w:hAnsi="David" w:cs="David"/>
          <w:sz w:val="24"/>
          <w:szCs w:val="24"/>
          <w:rtl/>
        </w:rPr>
      </w:pPr>
      <w:r>
        <w:rPr>
          <w:rFonts w:ascii="David" w:hAnsi="David" w:cs="David" w:hint="cs"/>
          <w:sz w:val="24"/>
          <w:szCs w:val="24"/>
          <w:rtl/>
        </w:rPr>
        <w:t xml:space="preserve">אם במהלך הביקורת גילה צוות הביקורת חולשה מהותית ברכיבי הבקרה הפנימית שלא נכללו בבדיקות מלכתחילה אך לא היתה טעות לכאורה בזיהוי רכיבי הבקרה המבוקרים  - יש להתייחס לחולשה שזו כליקוי מהותי בלבד ולהתקשר בתקשורת רגילה עם המבוקר ולא לראות בזה חולשה מהותית שתחייב חוו"ד שלילית. </w:t>
      </w:r>
    </w:p>
    <w:p w:rsidR="001A070A" w:rsidRDefault="00822921" w:rsidP="001A070A">
      <w:pPr>
        <w:spacing w:after="120" w:line="360" w:lineRule="auto"/>
        <w:jc w:val="both"/>
        <w:rPr>
          <w:rFonts w:ascii="David" w:hAnsi="David" w:cs="David" w:hint="cs"/>
          <w:sz w:val="24"/>
          <w:szCs w:val="24"/>
          <w:rtl/>
        </w:rPr>
      </w:pPr>
      <w:r w:rsidRPr="00822921">
        <w:rPr>
          <w:rFonts w:ascii="David" w:hAnsi="David" w:cs="David" w:hint="cs"/>
          <w:b/>
          <w:bCs/>
          <w:sz w:val="24"/>
          <w:szCs w:val="24"/>
          <w:rtl/>
        </w:rPr>
        <w:t>למשל:</w:t>
      </w:r>
      <w:r>
        <w:rPr>
          <w:rFonts w:ascii="David" w:hAnsi="David" w:cs="David" w:hint="cs"/>
          <w:b/>
          <w:bCs/>
          <w:sz w:val="24"/>
          <w:szCs w:val="24"/>
          <w:rtl/>
        </w:rPr>
        <w:t xml:space="preserve"> </w:t>
      </w:r>
      <w:r>
        <w:rPr>
          <w:rFonts w:ascii="David" w:hAnsi="David" w:cs="David" w:hint="cs"/>
          <w:sz w:val="24"/>
          <w:szCs w:val="24"/>
          <w:rtl/>
        </w:rPr>
        <w:t xml:space="preserve">חברת שטראוס מחליטה לבנות לעצמה בניין משרדים ואפילו מתקצבת את הבניה ב-20 מיליון ₪ . בפועל לאחר התחלת הבניה ההתקשרות מתגלה כפחות מוצלחת משחשבו והעלויות גדלות ועלות המבנה במקום 20 מיליון ₪ הגיע ל-50 מיליון ₪ - אין ספק  שמדובר פה בחולשה מהותית או חולשה באופן ה </w:t>
      </w:r>
      <w:r w:rsidR="009733BF">
        <w:rPr>
          <w:rFonts w:ascii="David" w:hAnsi="David" w:cs="David" w:hint="cs"/>
          <w:sz w:val="24"/>
          <w:szCs w:val="24"/>
          <w:rtl/>
        </w:rPr>
        <w:t>ה</w:t>
      </w:r>
      <w:r>
        <w:rPr>
          <w:rFonts w:ascii="David" w:hAnsi="David" w:cs="David" w:hint="cs"/>
          <w:sz w:val="24"/>
          <w:szCs w:val="24"/>
          <w:rtl/>
        </w:rPr>
        <w:t xml:space="preserve">תנהלותה של החברה אבל כל עוד זוהי לא חברה העוסקת בנדל"ן ז"א </w:t>
      </w:r>
      <w:r>
        <w:rPr>
          <w:rFonts w:ascii="David" w:hAnsi="David" w:cs="David" w:hint="cs"/>
          <w:sz w:val="24"/>
          <w:szCs w:val="24"/>
          <w:rtl/>
        </w:rPr>
        <w:lastRenderedPageBreak/>
        <w:t>שנדל"ן הוא עיקר עיסוקה נתייחס אל הדבר כליקוי מהותי ולא כחולשה מהותית וניתן חוו"ד בנוסח האחיד ולא חוו"ד שלילית.</w:t>
      </w:r>
    </w:p>
    <w:p w:rsidR="00822921" w:rsidRDefault="00822921" w:rsidP="001A070A">
      <w:pPr>
        <w:spacing w:after="120" w:line="360" w:lineRule="auto"/>
        <w:jc w:val="both"/>
        <w:rPr>
          <w:rFonts w:ascii="David" w:hAnsi="David" w:cs="David"/>
          <w:b/>
          <w:bCs/>
          <w:sz w:val="24"/>
          <w:szCs w:val="24"/>
          <w:u w:val="single"/>
          <w:rtl/>
        </w:rPr>
      </w:pPr>
      <w:r w:rsidRPr="00822921">
        <w:rPr>
          <w:rFonts w:ascii="David" w:hAnsi="David" w:cs="David" w:hint="cs"/>
          <w:b/>
          <w:bCs/>
          <w:sz w:val="24"/>
          <w:szCs w:val="24"/>
          <w:u w:val="single"/>
          <w:rtl/>
        </w:rPr>
        <w:t xml:space="preserve">ההבדל בין חולשה מהותית לליקויי מהותי </w:t>
      </w:r>
      <w:r>
        <w:rPr>
          <w:rFonts w:ascii="David" w:hAnsi="David" w:cs="David" w:hint="cs"/>
          <w:b/>
          <w:bCs/>
          <w:sz w:val="24"/>
          <w:szCs w:val="24"/>
          <w:u w:val="single"/>
          <w:rtl/>
        </w:rPr>
        <w:t>:</w:t>
      </w:r>
    </w:p>
    <w:p w:rsidR="00822921" w:rsidRDefault="00822921" w:rsidP="00822921">
      <w:pPr>
        <w:spacing w:after="120" w:line="360" w:lineRule="auto"/>
        <w:jc w:val="both"/>
        <w:rPr>
          <w:rFonts w:ascii="David" w:hAnsi="David" w:cs="David"/>
          <w:sz w:val="24"/>
          <w:szCs w:val="24"/>
          <w:rtl/>
        </w:rPr>
      </w:pPr>
      <w:r w:rsidRPr="00822921">
        <w:rPr>
          <w:rFonts w:ascii="David" w:hAnsi="David" w:cs="David" w:hint="cs"/>
          <w:sz w:val="24"/>
          <w:szCs w:val="24"/>
          <w:u w:val="single"/>
          <w:rtl/>
        </w:rPr>
        <w:t>חולשה מהותית  -</w:t>
      </w:r>
      <w:r w:rsidRPr="00822921">
        <w:rPr>
          <w:rFonts w:ascii="David" w:hAnsi="David" w:cs="David" w:hint="cs"/>
          <w:sz w:val="24"/>
          <w:szCs w:val="24"/>
          <w:rtl/>
        </w:rPr>
        <w:t xml:space="preserve"> </w:t>
      </w:r>
      <w:r>
        <w:rPr>
          <w:rFonts w:ascii="David" w:hAnsi="David" w:cs="David" w:hint="cs"/>
          <w:sz w:val="24"/>
          <w:szCs w:val="24"/>
          <w:rtl/>
        </w:rPr>
        <w:t xml:space="preserve">גוררת חוו"ד שלילית , היא למעשה מצביעה ע"כ שבקרה פנימית על רכיבי דיווח כספי אינה אפקטיבית . </w:t>
      </w:r>
    </w:p>
    <w:p w:rsidR="00822921" w:rsidRDefault="00822921" w:rsidP="001A070A">
      <w:pPr>
        <w:spacing w:after="120" w:line="360" w:lineRule="auto"/>
        <w:jc w:val="both"/>
        <w:rPr>
          <w:rFonts w:ascii="David" w:hAnsi="David" w:cs="David"/>
          <w:sz w:val="24"/>
          <w:szCs w:val="24"/>
          <w:rtl/>
        </w:rPr>
      </w:pPr>
      <w:r>
        <w:rPr>
          <w:rFonts w:ascii="David" w:hAnsi="David" w:cs="David" w:hint="cs"/>
          <w:sz w:val="24"/>
          <w:szCs w:val="24"/>
          <w:u w:val="single"/>
          <w:rtl/>
        </w:rPr>
        <w:t xml:space="preserve">ליקוי מהותי </w:t>
      </w:r>
      <w:r>
        <w:rPr>
          <w:rFonts w:ascii="David" w:hAnsi="David" w:cs="David"/>
          <w:sz w:val="24"/>
          <w:szCs w:val="24"/>
          <w:u w:val="single"/>
          <w:rtl/>
        </w:rPr>
        <w:t>–</w:t>
      </w:r>
      <w:r>
        <w:rPr>
          <w:rFonts w:ascii="David" w:hAnsi="David" w:cs="David" w:hint="cs"/>
          <w:sz w:val="24"/>
          <w:szCs w:val="24"/>
          <w:u w:val="single"/>
          <w:rtl/>
        </w:rPr>
        <w:t xml:space="preserve"> </w:t>
      </w:r>
      <w:r>
        <w:rPr>
          <w:rFonts w:ascii="David" w:hAnsi="David" w:cs="David" w:hint="cs"/>
          <w:sz w:val="24"/>
          <w:szCs w:val="24"/>
          <w:rtl/>
        </w:rPr>
        <w:t xml:space="preserve">לא משנה את חוו"ד שנשארת בנוסח האחיד. </w:t>
      </w:r>
    </w:p>
    <w:p w:rsidR="00822921" w:rsidRDefault="00822921" w:rsidP="001A070A">
      <w:pPr>
        <w:spacing w:after="120" w:line="360" w:lineRule="auto"/>
        <w:jc w:val="both"/>
        <w:rPr>
          <w:rFonts w:ascii="David" w:hAnsi="David" w:cs="David"/>
          <w:b/>
          <w:bCs/>
          <w:sz w:val="24"/>
          <w:szCs w:val="24"/>
          <w:rtl/>
        </w:rPr>
      </w:pPr>
      <w:r>
        <w:rPr>
          <w:rFonts w:ascii="David" w:hAnsi="David" w:cs="David" w:hint="cs"/>
          <w:b/>
          <w:bCs/>
          <w:sz w:val="24"/>
          <w:szCs w:val="24"/>
          <w:rtl/>
        </w:rPr>
        <w:t>דוגמא:</w:t>
      </w:r>
    </w:p>
    <w:p w:rsidR="007B3BF4" w:rsidRDefault="006D10AD" w:rsidP="001A070A">
      <w:pPr>
        <w:spacing w:after="120" w:line="360" w:lineRule="auto"/>
        <w:jc w:val="both"/>
        <w:rPr>
          <w:rFonts w:ascii="David" w:hAnsi="David" w:cs="David"/>
          <w:sz w:val="24"/>
          <w:szCs w:val="24"/>
          <w:rtl/>
        </w:rPr>
      </w:pPr>
      <w:r>
        <w:rPr>
          <w:rFonts w:ascii="David" w:hAnsi="David" w:cs="David" w:hint="cs"/>
          <w:sz w:val="24"/>
          <w:szCs w:val="24"/>
          <w:rtl/>
        </w:rPr>
        <w:t xml:space="preserve">הקופאים החדשים בשופרסל לא מתודרכים בעת קבלתם לעבודה כי עליהם להכניס את כל התקבולים לקופה ? </w:t>
      </w:r>
    </w:p>
    <w:p w:rsidR="006D10AD" w:rsidRDefault="006D10AD" w:rsidP="001A070A">
      <w:pPr>
        <w:spacing w:after="120" w:line="360" w:lineRule="auto"/>
        <w:jc w:val="both"/>
        <w:rPr>
          <w:rFonts w:ascii="David" w:hAnsi="David" w:cs="David"/>
          <w:sz w:val="24"/>
          <w:szCs w:val="24"/>
          <w:rtl/>
        </w:rPr>
      </w:pPr>
      <w:r>
        <w:rPr>
          <w:rFonts w:ascii="David" w:hAnsi="David" w:cs="David" w:hint="cs"/>
          <w:sz w:val="24"/>
          <w:szCs w:val="24"/>
          <w:rtl/>
        </w:rPr>
        <w:t>האם זו חולשה מהותית או ליקוי מהותי ?</w:t>
      </w:r>
    </w:p>
    <w:p w:rsidR="006D10AD" w:rsidRDefault="006D10AD" w:rsidP="001A070A">
      <w:pPr>
        <w:spacing w:after="120" w:line="360" w:lineRule="auto"/>
        <w:jc w:val="both"/>
        <w:rPr>
          <w:rFonts w:ascii="David" w:hAnsi="David" w:cs="David"/>
          <w:sz w:val="24"/>
          <w:szCs w:val="24"/>
          <w:rtl/>
        </w:rPr>
      </w:pPr>
      <w:r>
        <w:rPr>
          <w:rFonts w:ascii="David" w:hAnsi="David" w:cs="David" w:hint="cs"/>
          <w:sz w:val="24"/>
          <w:szCs w:val="24"/>
          <w:rtl/>
        </w:rPr>
        <w:t xml:space="preserve">כאשר קופאי חדש מתחיל לעבוד גם אם לא אומרים לו בהדרכה לשים את הכסף בקופה יש ספירה דל הקופה ועורכים התאמה לרישומים מטעמי ביטחון עצם העובדה שהקופאי לא מתודרך זה לא תקין אבל זה לא מהווה חולשה מהותית כי זה משהו שיש עליו בקרה פנימית. </w:t>
      </w:r>
    </w:p>
    <w:p w:rsidR="006D10AD" w:rsidRDefault="006D10AD" w:rsidP="001A070A">
      <w:pPr>
        <w:spacing w:after="120" w:line="360" w:lineRule="auto"/>
        <w:jc w:val="both"/>
        <w:rPr>
          <w:rFonts w:ascii="David" w:hAnsi="David" w:cs="David" w:hint="cs"/>
          <w:b/>
          <w:bCs/>
          <w:sz w:val="24"/>
          <w:szCs w:val="24"/>
          <w:u w:val="single"/>
          <w:rtl/>
        </w:rPr>
      </w:pPr>
      <w:r>
        <w:rPr>
          <w:rFonts w:ascii="David" w:hAnsi="David" w:cs="David" w:hint="cs"/>
          <w:b/>
          <w:bCs/>
          <w:sz w:val="24"/>
          <w:szCs w:val="24"/>
          <w:u w:val="single"/>
          <w:rtl/>
        </w:rPr>
        <w:t>חוו"ד על רכיבי הבקרה הפנימית</w:t>
      </w:r>
    </w:p>
    <w:p w:rsidR="006D10AD" w:rsidRDefault="006D10AD" w:rsidP="001A070A">
      <w:pPr>
        <w:spacing w:after="120" w:line="360" w:lineRule="auto"/>
        <w:jc w:val="both"/>
        <w:rPr>
          <w:rFonts w:ascii="David" w:hAnsi="David" w:cs="David"/>
          <w:sz w:val="24"/>
          <w:szCs w:val="24"/>
          <w:rtl/>
        </w:rPr>
      </w:pPr>
      <w:r>
        <w:rPr>
          <w:rFonts w:ascii="David" w:hAnsi="David" w:cs="David" w:hint="cs"/>
          <w:sz w:val="24"/>
          <w:szCs w:val="24"/>
          <w:rtl/>
        </w:rPr>
        <w:t xml:space="preserve">דו"ח רו"ח המבקר </w:t>
      </w:r>
      <w:r w:rsidR="008636F5">
        <w:rPr>
          <w:rFonts w:ascii="David" w:hAnsi="David" w:cs="David" w:hint="cs"/>
          <w:sz w:val="24"/>
          <w:szCs w:val="24"/>
          <w:rtl/>
        </w:rPr>
        <w:t xml:space="preserve">על הדיווח הכספי יינתן בנפרד מדו"ח רו"ח המבקר על אפקטיביות הבקרה הפנימית, ותאריך שתי חוות הדעת תהינה זהות . </w:t>
      </w:r>
    </w:p>
    <w:p w:rsidR="008636F5" w:rsidRDefault="008636F5" w:rsidP="001A070A">
      <w:pPr>
        <w:spacing w:after="120" w:line="360" w:lineRule="auto"/>
        <w:jc w:val="both"/>
        <w:rPr>
          <w:rFonts w:ascii="David" w:hAnsi="David" w:cs="David" w:hint="cs"/>
          <w:sz w:val="24"/>
          <w:szCs w:val="24"/>
          <w:rtl/>
        </w:rPr>
      </w:pPr>
      <w:r>
        <w:rPr>
          <w:rFonts w:ascii="David" w:hAnsi="David" w:cs="David" w:hint="cs"/>
          <w:sz w:val="24"/>
          <w:szCs w:val="24"/>
          <w:rtl/>
        </w:rPr>
        <w:t xml:space="preserve">בסוף דו"ח רו"ח המבקר על הדוכ"ס תתווסף </w:t>
      </w:r>
      <w:r>
        <w:rPr>
          <w:rFonts w:ascii="David" w:hAnsi="David" w:cs="David" w:hint="cs"/>
          <w:b/>
          <w:bCs/>
          <w:sz w:val="24"/>
          <w:szCs w:val="24"/>
          <w:rtl/>
        </w:rPr>
        <w:t>פסקת קישור</w:t>
      </w:r>
      <w:r>
        <w:rPr>
          <w:rFonts w:ascii="David" w:hAnsi="David" w:cs="David" w:hint="cs"/>
          <w:sz w:val="24"/>
          <w:szCs w:val="24"/>
          <w:rtl/>
        </w:rPr>
        <w:t xml:space="preserve"> המתייחסת לביקורת הבקרה הפנימית על דיווח כספי בנוסח שנקבע בסעיף 23 בת"ב 104 המשולב</w:t>
      </w:r>
    </w:p>
    <w:p w:rsidR="008636F5" w:rsidRDefault="008636F5" w:rsidP="001A070A">
      <w:pPr>
        <w:spacing w:after="120" w:line="360" w:lineRule="auto"/>
        <w:jc w:val="both"/>
        <w:rPr>
          <w:rFonts w:ascii="David" w:hAnsi="David" w:cs="David"/>
          <w:sz w:val="24"/>
          <w:szCs w:val="24"/>
          <w:rtl/>
        </w:rPr>
      </w:pPr>
      <w:r>
        <w:rPr>
          <w:rFonts w:ascii="David" w:hAnsi="David" w:cs="David" w:hint="cs"/>
          <w:b/>
          <w:bCs/>
          <w:sz w:val="24"/>
          <w:szCs w:val="24"/>
          <w:rtl/>
        </w:rPr>
        <w:t xml:space="preserve">סעיף 23: </w:t>
      </w:r>
      <w:r>
        <w:rPr>
          <w:rFonts w:ascii="David" w:hAnsi="David" w:cs="David" w:hint="cs"/>
          <w:sz w:val="24"/>
          <w:szCs w:val="24"/>
          <w:rtl/>
        </w:rPr>
        <w:t>כאשר חוו"ד על אפקטיביות הבקרה הפנימית היא בנוסח האחיד :</w:t>
      </w:r>
    </w:p>
    <w:p w:rsidR="008636F5" w:rsidRDefault="008636F5" w:rsidP="001A070A">
      <w:pPr>
        <w:spacing w:after="120" w:line="360" w:lineRule="auto"/>
        <w:jc w:val="both"/>
        <w:rPr>
          <w:rFonts w:ascii="David" w:hAnsi="David" w:cs="David"/>
          <w:i/>
          <w:iCs/>
          <w:sz w:val="24"/>
          <w:szCs w:val="24"/>
          <w:rtl/>
        </w:rPr>
      </w:pPr>
      <w:r w:rsidRPr="008636F5">
        <w:rPr>
          <w:rFonts w:ascii="David" w:hAnsi="David" w:cs="David" w:hint="cs"/>
          <w:i/>
          <w:iCs/>
          <w:sz w:val="24"/>
          <w:szCs w:val="24"/>
          <w:rtl/>
        </w:rPr>
        <w:t>"</w:t>
      </w:r>
      <w:r>
        <w:rPr>
          <w:rFonts w:ascii="David" w:hAnsi="David" w:cs="David" w:hint="cs"/>
          <w:i/>
          <w:iCs/>
          <w:sz w:val="24"/>
          <w:szCs w:val="24"/>
          <w:rtl/>
        </w:rPr>
        <w:t xml:space="preserve">ביקרנו גם בהתאם לת"ב 104 של לשכת רו"ח בישראל בדבר ביקורת של רכיבי בקרה פנימית על הדיווח הכספי . רכיבי בקרה של החברה ליום 31/12/2013 והדו"ח שלנו מיום 31/03/2014 כלל </w:t>
      </w:r>
      <w:r>
        <w:rPr>
          <w:rFonts w:ascii="David" w:hAnsi="David" w:cs="David" w:hint="cs"/>
          <w:b/>
          <w:bCs/>
          <w:i/>
          <w:iCs/>
          <w:sz w:val="24"/>
          <w:szCs w:val="24"/>
          <w:rtl/>
        </w:rPr>
        <w:t>חוו"ד בלתי מסוייגת על קיומם של אותם רכיבים באופן אפקטיבי</w:t>
      </w:r>
      <w:r w:rsidRPr="008636F5">
        <w:rPr>
          <w:rFonts w:ascii="David" w:hAnsi="David" w:cs="David" w:hint="cs"/>
          <w:i/>
          <w:iCs/>
          <w:sz w:val="24"/>
          <w:szCs w:val="24"/>
          <w:rtl/>
        </w:rPr>
        <w:t>"</w:t>
      </w:r>
    </w:p>
    <w:p w:rsidR="008636F5" w:rsidRDefault="008636F5" w:rsidP="001A070A">
      <w:pPr>
        <w:spacing w:after="120" w:line="360" w:lineRule="auto"/>
        <w:jc w:val="both"/>
        <w:rPr>
          <w:rFonts w:ascii="David" w:hAnsi="David" w:cs="David"/>
          <w:sz w:val="24"/>
          <w:szCs w:val="24"/>
          <w:rtl/>
        </w:rPr>
      </w:pPr>
      <w:r>
        <w:rPr>
          <w:rFonts w:ascii="David" w:hAnsi="David" w:cs="David" w:hint="cs"/>
          <w:sz w:val="24"/>
          <w:szCs w:val="24"/>
          <w:rtl/>
        </w:rPr>
        <w:t>כאשר חוו"ד היא שלילית:</w:t>
      </w:r>
    </w:p>
    <w:p w:rsidR="006E05F7" w:rsidRDefault="006E05F7" w:rsidP="006E05F7">
      <w:pPr>
        <w:spacing w:after="120" w:line="360" w:lineRule="auto"/>
        <w:jc w:val="both"/>
        <w:rPr>
          <w:rFonts w:ascii="David" w:hAnsi="David" w:cs="David"/>
          <w:i/>
          <w:iCs/>
          <w:sz w:val="24"/>
          <w:szCs w:val="24"/>
          <w:rtl/>
        </w:rPr>
      </w:pPr>
      <w:r w:rsidRPr="008636F5">
        <w:rPr>
          <w:rFonts w:ascii="David" w:hAnsi="David" w:cs="David" w:hint="cs"/>
          <w:i/>
          <w:iCs/>
          <w:sz w:val="24"/>
          <w:szCs w:val="24"/>
          <w:rtl/>
        </w:rPr>
        <w:t>"</w:t>
      </w:r>
      <w:r>
        <w:rPr>
          <w:rFonts w:ascii="David" w:hAnsi="David" w:cs="David" w:hint="cs"/>
          <w:i/>
          <w:iCs/>
          <w:sz w:val="24"/>
          <w:szCs w:val="24"/>
          <w:rtl/>
        </w:rPr>
        <w:t xml:space="preserve">ביקרנו גם בהתאם לת"ב 104 של לשכת רו"ח בישראל בדבר ביקורת של רכיבי בקרה פנימית על הדיווח הכספי . רכיבי בקרה של החברה ליום 31/12/2013 והדו"ח שלנו מיום 31/03/2014 כלל </w:t>
      </w:r>
      <w:r>
        <w:rPr>
          <w:rFonts w:ascii="David" w:hAnsi="David" w:cs="David" w:hint="cs"/>
          <w:b/>
          <w:bCs/>
          <w:i/>
          <w:iCs/>
          <w:sz w:val="24"/>
          <w:szCs w:val="24"/>
          <w:rtl/>
        </w:rPr>
        <w:t xml:space="preserve">חוו"ד שלילית בשל קיומה של חולשה מהותית/ בשל קיומן של חולשות מהותיות </w:t>
      </w:r>
      <w:r w:rsidRPr="008636F5">
        <w:rPr>
          <w:rFonts w:ascii="David" w:hAnsi="David" w:cs="David" w:hint="cs"/>
          <w:i/>
          <w:iCs/>
          <w:sz w:val="24"/>
          <w:szCs w:val="24"/>
          <w:rtl/>
        </w:rPr>
        <w:t>"</w:t>
      </w:r>
    </w:p>
    <w:p w:rsidR="006E05F7" w:rsidRPr="006E05F7" w:rsidRDefault="006E05F7" w:rsidP="006E05F7">
      <w:pPr>
        <w:spacing w:after="120" w:line="360" w:lineRule="auto"/>
        <w:jc w:val="both"/>
        <w:rPr>
          <w:rFonts w:ascii="David" w:hAnsi="David" w:cs="David"/>
          <w:sz w:val="24"/>
          <w:szCs w:val="24"/>
          <w:rtl/>
        </w:rPr>
      </w:pPr>
      <w:r>
        <w:rPr>
          <w:rFonts w:ascii="David" w:hAnsi="David" w:cs="David" w:hint="cs"/>
          <w:sz w:val="24"/>
          <w:szCs w:val="24"/>
          <w:rtl/>
        </w:rPr>
        <w:t>בנוסף נקבע בסעיף 23 כי פסקה זו תיכלל בסוף חוו"ד על הדוכ"ס.</w:t>
      </w:r>
    </w:p>
    <w:p w:rsidR="008636F5" w:rsidRPr="00BD1918" w:rsidRDefault="00BD1918" w:rsidP="001A070A">
      <w:pPr>
        <w:spacing w:after="120" w:line="360" w:lineRule="auto"/>
        <w:jc w:val="both"/>
        <w:rPr>
          <w:rFonts w:ascii="David" w:hAnsi="David" w:cs="David"/>
          <w:sz w:val="24"/>
          <w:szCs w:val="24"/>
          <w:rtl/>
        </w:rPr>
      </w:pPr>
      <w:r>
        <w:rPr>
          <w:rFonts w:ascii="David" w:hAnsi="David" w:cs="David" w:hint="cs"/>
          <w:sz w:val="24"/>
          <w:szCs w:val="24"/>
          <w:rtl/>
        </w:rPr>
        <w:t>החובה שח"צ שלא חל עליה ה-</w:t>
      </w:r>
      <w:r>
        <w:rPr>
          <w:rFonts w:ascii="David" w:hAnsi="David" w:cs="David" w:hint="cs"/>
          <w:sz w:val="24"/>
          <w:szCs w:val="24"/>
        </w:rPr>
        <w:t>SOX</w:t>
      </w:r>
      <w:r>
        <w:rPr>
          <w:rFonts w:ascii="David" w:hAnsi="David" w:cs="David" w:hint="cs"/>
          <w:sz w:val="24"/>
          <w:szCs w:val="24"/>
          <w:rtl/>
        </w:rPr>
        <w:t xml:space="preserve"> המלא תבחן את אפקטיביות הבקרה הפנימית נקבעה ב</w:t>
      </w:r>
      <w:r>
        <w:rPr>
          <w:rFonts w:ascii="David" w:hAnsi="David" w:cs="David" w:hint="cs"/>
          <w:b/>
          <w:bCs/>
          <w:sz w:val="24"/>
          <w:szCs w:val="24"/>
          <w:rtl/>
        </w:rPr>
        <w:t xml:space="preserve">תקנות ני"ע (דו"חות תקופתיים ומידיים). </w:t>
      </w:r>
      <w:r>
        <w:rPr>
          <w:rFonts w:ascii="David" w:hAnsi="David" w:cs="David" w:hint="cs"/>
          <w:sz w:val="24"/>
          <w:szCs w:val="24"/>
          <w:rtl/>
        </w:rPr>
        <w:t>באותן תקנות גם נקבע כי חובה שרו"ח המבקר של אותו תאגיד ימונה לביצוע ביקורת לבחינת האפקטיביות הזאת . הדירקטוריון וההנהלה נדרשים לבצע את מערך ובחינת האפקטיביות עפ"י נייר עמדה של הרשות לני"ע 199-9 מה-23/11/10</w:t>
      </w:r>
      <w:r>
        <w:rPr>
          <w:rFonts w:ascii="David" w:hAnsi="David" w:cs="David" w:hint="cs"/>
          <w:b/>
          <w:bCs/>
          <w:sz w:val="24"/>
          <w:szCs w:val="24"/>
          <w:rtl/>
        </w:rPr>
        <w:t xml:space="preserve"> </w:t>
      </w:r>
      <w:r>
        <w:rPr>
          <w:rFonts w:ascii="David" w:hAnsi="David" w:cs="David" w:hint="cs"/>
          <w:sz w:val="24"/>
          <w:szCs w:val="24"/>
          <w:rtl/>
        </w:rPr>
        <w:t xml:space="preserve">. הביקורת של רו"ח המבקר, תיעשה עפ"י ת"ב 104 בנוסח המשולב . </w:t>
      </w:r>
    </w:p>
    <w:p w:rsidR="007B3BF4" w:rsidRDefault="00763CBA" w:rsidP="001A070A">
      <w:pPr>
        <w:spacing w:after="120" w:line="360" w:lineRule="auto"/>
        <w:jc w:val="both"/>
        <w:rPr>
          <w:rFonts w:ascii="David" w:hAnsi="David" w:cs="David"/>
          <w:sz w:val="24"/>
          <w:szCs w:val="24"/>
          <w:rtl/>
        </w:rPr>
      </w:pPr>
      <w:r>
        <w:rPr>
          <w:rFonts w:ascii="David" w:hAnsi="David" w:cs="David" w:hint="cs"/>
          <w:sz w:val="24"/>
          <w:szCs w:val="24"/>
          <w:rtl/>
        </w:rPr>
        <w:lastRenderedPageBreak/>
        <w:t xml:space="preserve">כאשר רו"ח המבקר מוצא לנכון להוסיף את פסקת הפניית תשומת לב אם גם זו וגם פסקת הקישור מופיעות אחרונות , אין בספרות המקצועית איזו מהן מופיעה קודם פרקטית פסקת קישור מופיעה לפני פסקת הפניית תשומת לב. </w:t>
      </w:r>
    </w:p>
    <w:p w:rsidR="00763CBA" w:rsidRDefault="00763CBA" w:rsidP="001A070A">
      <w:pPr>
        <w:spacing w:after="120" w:line="360" w:lineRule="auto"/>
        <w:jc w:val="both"/>
        <w:rPr>
          <w:rFonts w:ascii="David" w:hAnsi="David" w:cs="David"/>
          <w:b/>
          <w:bCs/>
          <w:sz w:val="24"/>
          <w:szCs w:val="24"/>
          <w:u w:val="single"/>
          <w:rtl/>
        </w:rPr>
      </w:pPr>
      <w:r>
        <w:rPr>
          <w:rFonts w:ascii="David" w:hAnsi="David" w:cs="David" w:hint="cs"/>
          <w:b/>
          <w:bCs/>
          <w:sz w:val="24"/>
          <w:szCs w:val="24"/>
          <w:u w:val="single"/>
          <w:rtl/>
        </w:rPr>
        <w:t>הנספחים של הנוסח המשולב :</w:t>
      </w:r>
    </w:p>
    <w:p w:rsidR="00763CBA" w:rsidRDefault="00763CBA" w:rsidP="001A070A">
      <w:pPr>
        <w:spacing w:after="120" w:line="360" w:lineRule="auto"/>
        <w:jc w:val="both"/>
        <w:rPr>
          <w:rFonts w:ascii="David" w:hAnsi="David" w:cs="David"/>
          <w:b/>
          <w:bCs/>
          <w:sz w:val="24"/>
          <w:szCs w:val="24"/>
          <w:u w:val="single"/>
          <w:rtl/>
        </w:rPr>
      </w:pPr>
      <w:r>
        <w:rPr>
          <w:rFonts w:ascii="David" w:hAnsi="David" w:cs="David" w:hint="cs"/>
          <w:b/>
          <w:bCs/>
          <w:sz w:val="24"/>
          <w:szCs w:val="24"/>
          <w:u w:val="single"/>
          <w:rtl/>
        </w:rPr>
        <w:t xml:space="preserve">נספח א' </w:t>
      </w:r>
      <w:r>
        <w:rPr>
          <w:rFonts w:ascii="David" w:hAnsi="David" w:cs="David"/>
          <w:b/>
          <w:bCs/>
          <w:sz w:val="24"/>
          <w:szCs w:val="24"/>
          <w:u w:val="single"/>
          <w:rtl/>
        </w:rPr>
        <w:t>–</w:t>
      </w:r>
      <w:r>
        <w:rPr>
          <w:rFonts w:ascii="David" w:hAnsi="David" w:cs="David" w:hint="cs"/>
          <w:b/>
          <w:bCs/>
          <w:sz w:val="24"/>
          <w:szCs w:val="24"/>
          <w:u w:val="single"/>
          <w:rtl/>
        </w:rPr>
        <w:t xml:space="preserve"> הנוסח האחיד </w:t>
      </w:r>
    </w:p>
    <w:p w:rsidR="00763CBA" w:rsidRDefault="00763CBA" w:rsidP="001A070A">
      <w:pPr>
        <w:spacing w:after="120" w:line="360" w:lineRule="auto"/>
        <w:jc w:val="both"/>
        <w:rPr>
          <w:rFonts w:ascii="David" w:hAnsi="David" w:cs="David"/>
          <w:b/>
          <w:bCs/>
          <w:sz w:val="24"/>
          <w:szCs w:val="24"/>
          <w:u w:val="single"/>
          <w:rtl/>
        </w:rPr>
      </w:pPr>
      <w:r>
        <w:rPr>
          <w:rFonts w:ascii="David" w:hAnsi="David" w:cs="David" w:hint="cs"/>
          <w:b/>
          <w:bCs/>
          <w:sz w:val="24"/>
          <w:szCs w:val="24"/>
          <w:u w:val="single"/>
          <w:rtl/>
        </w:rPr>
        <w:t xml:space="preserve">נספח ב'- מתייחס להוספת פסקת הסתמכות על רו"ח אחרים </w:t>
      </w:r>
      <w:r>
        <w:rPr>
          <w:rFonts w:ascii="David" w:hAnsi="David" w:cs="David" w:hint="cs"/>
          <w:sz w:val="24"/>
          <w:szCs w:val="24"/>
          <w:rtl/>
        </w:rPr>
        <w:t>-</w:t>
      </w:r>
      <w:r w:rsidRPr="00763CBA">
        <w:rPr>
          <w:rFonts w:ascii="David" w:hAnsi="David" w:cs="David" w:hint="cs"/>
          <w:sz w:val="24"/>
          <w:szCs w:val="24"/>
          <w:rtl/>
        </w:rPr>
        <w:t xml:space="preserve">כאשר רו"ח מבקר של חברה בת ביקר תהליך מהותי מאד ביחידה העסקית שהיא חברת הבת </w:t>
      </w:r>
    </w:p>
    <w:p w:rsidR="00763CBA" w:rsidRDefault="00763CBA" w:rsidP="001A070A">
      <w:pPr>
        <w:spacing w:after="120" w:line="360" w:lineRule="auto"/>
        <w:jc w:val="both"/>
        <w:rPr>
          <w:rFonts w:ascii="David" w:hAnsi="David" w:cs="David"/>
          <w:b/>
          <w:bCs/>
          <w:sz w:val="24"/>
          <w:szCs w:val="24"/>
          <w:u w:val="single"/>
          <w:rtl/>
        </w:rPr>
      </w:pPr>
      <w:r>
        <w:rPr>
          <w:rFonts w:ascii="David" w:hAnsi="David" w:cs="David" w:hint="cs"/>
          <w:b/>
          <w:bCs/>
          <w:sz w:val="24"/>
          <w:szCs w:val="24"/>
          <w:u w:val="single"/>
          <w:rtl/>
        </w:rPr>
        <w:t>נספח ג'- כולל ארבעה מקרים שונים שבהם התגלתה חולשה מהותית אחת או יותר :</w:t>
      </w:r>
    </w:p>
    <w:p w:rsidR="00763CBA" w:rsidRDefault="00763CBA" w:rsidP="00763CBA">
      <w:pPr>
        <w:pStyle w:val="a7"/>
        <w:numPr>
          <w:ilvl w:val="0"/>
          <w:numId w:val="25"/>
        </w:numPr>
        <w:spacing w:after="120" w:line="360" w:lineRule="auto"/>
        <w:jc w:val="both"/>
        <w:rPr>
          <w:rFonts w:ascii="David" w:hAnsi="David" w:cs="David" w:hint="cs"/>
          <w:sz w:val="24"/>
          <w:szCs w:val="24"/>
        </w:rPr>
      </w:pPr>
      <w:r>
        <w:rPr>
          <w:rFonts w:ascii="David" w:hAnsi="David" w:cs="David" w:hint="cs"/>
          <w:sz w:val="24"/>
          <w:szCs w:val="24"/>
          <w:rtl/>
        </w:rPr>
        <w:t xml:space="preserve">המקרה הקלאסי- בהערכת הדירקטוריון וההנהלה נכללות כל החולשות המהותיות שזוהו בביקורת והגילוי לגביהן מוצג באופן נאות מכל הבחינות המהותיות </w:t>
      </w:r>
    </w:p>
    <w:p w:rsidR="00DE0E54" w:rsidRDefault="00763CBA" w:rsidP="00763CBA">
      <w:pPr>
        <w:pStyle w:val="a7"/>
        <w:numPr>
          <w:ilvl w:val="0"/>
          <w:numId w:val="25"/>
        </w:numPr>
        <w:spacing w:after="120" w:line="360" w:lineRule="auto"/>
        <w:jc w:val="both"/>
        <w:rPr>
          <w:rFonts w:ascii="David" w:hAnsi="David" w:cs="David" w:hint="cs"/>
          <w:sz w:val="24"/>
          <w:szCs w:val="24"/>
        </w:rPr>
      </w:pPr>
      <w:r>
        <w:rPr>
          <w:rFonts w:ascii="David" w:hAnsi="David" w:cs="David" w:hint="cs"/>
          <w:sz w:val="24"/>
          <w:szCs w:val="24"/>
          <w:rtl/>
        </w:rPr>
        <w:t xml:space="preserve">כאשר בהערכת הדירקטוריון וההנהלה לא נכללת חולשה מהותית </w:t>
      </w:r>
      <w:r w:rsidR="00DE0E54">
        <w:rPr>
          <w:rFonts w:ascii="David" w:hAnsi="David" w:cs="David" w:hint="cs"/>
          <w:sz w:val="24"/>
          <w:szCs w:val="24"/>
          <w:rtl/>
        </w:rPr>
        <w:t>אך בביקורת זוהו חולשות מהותיות</w:t>
      </w:r>
    </w:p>
    <w:p w:rsidR="00DE0E54" w:rsidRDefault="00DE0E54" w:rsidP="00763CBA">
      <w:pPr>
        <w:pStyle w:val="a7"/>
        <w:numPr>
          <w:ilvl w:val="0"/>
          <w:numId w:val="25"/>
        </w:numPr>
        <w:spacing w:after="120" w:line="360" w:lineRule="auto"/>
        <w:jc w:val="both"/>
        <w:rPr>
          <w:rFonts w:ascii="David" w:hAnsi="David" w:cs="David" w:hint="cs"/>
          <w:sz w:val="24"/>
          <w:szCs w:val="24"/>
        </w:rPr>
      </w:pPr>
      <w:r>
        <w:rPr>
          <w:rFonts w:ascii="David" w:hAnsi="David" w:cs="David" w:hint="cs"/>
          <w:sz w:val="24"/>
          <w:szCs w:val="24"/>
          <w:rtl/>
        </w:rPr>
        <w:t xml:space="preserve">כאשר בהערכת הדירקטוריון וההנהלה נכללות חולשות מהותיות אחת או יותר והגילוי לגביהן מוצג באופן נאות מכל הבחינות המהותיות אך לא נכללות חולשות מהותיות נוספות שזוהו בביקורת . </w:t>
      </w:r>
    </w:p>
    <w:p w:rsidR="00763CBA" w:rsidRPr="00DE0E54" w:rsidRDefault="00DE0E54" w:rsidP="00763CBA">
      <w:pPr>
        <w:pStyle w:val="a7"/>
        <w:numPr>
          <w:ilvl w:val="0"/>
          <w:numId w:val="25"/>
        </w:numPr>
        <w:spacing w:after="120" w:line="360" w:lineRule="auto"/>
        <w:jc w:val="both"/>
        <w:rPr>
          <w:rFonts w:ascii="David" w:hAnsi="David" w:cs="David"/>
          <w:sz w:val="24"/>
          <w:szCs w:val="24"/>
        </w:rPr>
      </w:pPr>
      <w:r>
        <w:rPr>
          <w:rFonts w:ascii="David" w:hAnsi="David" w:cs="David" w:hint="cs"/>
          <w:sz w:val="24"/>
          <w:szCs w:val="24"/>
          <w:rtl/>
        </w:rPr>
        <w:t xml:space="preserve">כאשר בהערכת הדירקטוריון וההנהלה נכללות כל החולשות המהותיות שזוהו בביקורת אך הגילוי לגבי חלקן אינו מוצג באופן נאות מכל הבחינות המהותיות. </w:t>
      </w:r>
      <w:r w:rsidR="00763CBA" w:rsidRPr="00763CBA">
        <w:rPr>
          <w:rFonts w:ascii="David" w:hAnsi="David" w:cs="David" w:hint="cs"/>
          <w:b/>
          <w:bCs/>
          <w:sz w:val="24"/>
          <w:szCs w:val="24"/>
          <w:u w:val="single"/>
          <w:rtl/>
        </w:rPr>
        <w:t xml:space="preserve"> </w:t>
      </w:r>
    </w:p>
    <w:p w:rsidR="005D259E" w:rsidRDefault="00DE0E54" w:rsidP="005D259E">
      <w:pPr>
        <w:spacing w:after="120" w:line="360" w:lineRule="auto"/>
        <w:jc w:val="both"/>
        <w:rPr>
          <w:rFonts w:ascii="David" w:hAnsi="David" w:cs="David"/>
          <w:b/>
          <w:bCs/>
          <w:color w:val="FF0000"/>
          <w:sz w:val="24"/>
          <w:szCs w:val="24"/>
          <w:rtl/>
        </w:rPr>
      </w:pPr>
      <w:r w:rsidRPr="00DE0E54">
        <w:rPr>
          <w:rFonts w:ascii="David" w:hAnsi="David" w:cs="David" w:hint="cs"/>
          <w:b/>
          <w:bCs/>
          <w:color w:val="FF0000"/>
          <w:sz w:val="24"/>
          <w:szCs w:val="24"/>
          <w:rtl/>
        </w:rPr>
        <w:t>דוגמא מהדף שחולק</w:t>
      </w:r>
      <w:r w:rsidR="005D259E">
        <w:rPr>
          <w:rFonts w:ascii="David" w:hAnsi="David" w:cs="David" w:hint="cs"/>
          <w:b/>
          <w:bCs/>
          <w:color w:val="FF0000"/>
          <w:sz w:val="24"/>
          <w:szCs w:val="24"/>
          <w:rtl/>
        </w:rPr>
        <w:t xml:space="preserve"> </w:t>
      </w:r>
      <w:r w:rsidR="005D259E">
        <w:rPr>
          <w:rFonts w:ascii="David" w:hAnsi="David" w:cs="David"/>
          <w:b/>
          <w:bCs/>
          <w:color w:val="FF0000"/>
          <w:sz w:val="24"/>
          <w:szCs w:val="24"/>
          <w:rtl/>
        </w:rPr>
        <w:t>–</w:t>
      </w:r>
      <w:r w:rsidR="005D259E">
        <w:rPr>
          <w:rFonts w:ascii="David" w:hAnsi="David" w:cs="David" w:hint="cs"/>
          <w:b/>
          <w:bCs/>
          <w:color w:val="FF0000"/>
          <w:sz w:val="24"/>
          <w:szCs w:val="24"/>
          <w:rtl/>
        </w:rPr>
        <w:t xml:space="preserve"> ברייטמן אלמגור זוהר</w:t>
      </w:r>
    </w:p>
    <w:p w:rsidR="006E6C2E" w:rsidRPr="006E6C2E" w:rsidRDefault="006E6C2E" w:rsidP="00DE0E54">
      <w:pPr>
        <w:spacing w:after="120" w:line="360" w:lineRule="auto"/>
        <w:jc w:val="both"/>
        <w:rPr>
          <w:rFonts w:ascii="David" w:hAnsi="David" w:cs="David"/>
          <w:b/>
          <w:bCs/>
          <w:sz w:val="24"/>
          <w:szCs w:val="24"/>
          <w:rtl/>
        </w:rPr>
      </w:pPr>
      <w:r w:rsidRPr="006E6C2E">
        <w:rPr>
          <w:rFonts w:ascii="David" w:hAnsi="David" w:cs="David" w:hint="cs"/>
          <w:b/>
          <w:bCs/>
          <w:sz w:val="24"/>
          <w:szCs w:val="24"/>
          <w:rtl/>
        </w:rPr>
        <w:t>הערות:</w:t>
      </w:r>
    </w:p>
    <w:p w:rsidR="006E6C2E" w:rsidRPr="006E6C2E" w:rsidRDefault="006E6C2E" w:rsidP="006E6C2E">
      <w:pPr>
        <w:pStyle w:val="a7"/>
        <w:numPr>
          <w:ilvl w:val="0"/>
          <w:numId w:val="26"/>
        </w:numPr>
        <w:spacing w:after="120" w:line="360" w:lineRule="auto"/>
        <w:jc w:val="both"/>
        <w:rPr>
          <w:rFonts w:ascii="David" w:hAnsi="David" w:cs="David"/>
          <w:color w:val="FF0000"/>
          <w:sz w:val="24"/>
          <w:szCs w:val="24"/>
        </w:rPr>
      </w:pPr>
      <w:r w:rsidRPr="006E6C2E">
        <w:rPr>
          <w:rFonts w:ascii="David" w:hAnsi="David" w:cs="David" w:hint="cs"/>
          <w:sz w:val="24"/>
          <w:szCs w:val="24"/>
          <w:rtl/>
        </w:rPr>
        <w:t xml:space="preserve">כדי לנסח חוו"ד שלילית מחליפים את פסקה 5 במה שכתוב בנספח ג' </w:t>
      </w:r>
    </w:p>
    <w:p w:rsidR="006E6C2E" w:rsidRPr="006E6C2E" w:rsidRDefault="006E6C2E" w:rsidP="006E6C2E">
      <w:pPr>
        <w:pStyle w:val="a7"/>
        <w:numPr>
          <w:ilvl w:val="0"/>
          <w:numId w:val="26"/>
        </w:numPr>
        <w:spacing w:after="120" w:line="360" w:lineRule="auto"/>
        <w:jc w:val="both"/>
        <w:rPr>
          <w:rFonts w:ascii="David" w:hAnsi="David" w:cs="David"/>
          <w:color w:val="FF0000"/>
          <w:sz w:val="24"/>
          <w:szCs w:val="24"/>
        </w:rPr>
      </w:pPr>
      <w:r>
        <w:rPr>
          <w:rFonts w:ascii="David" w:hAnsi="David" w:cs="David" w:hint="cs"/>
          <w:sz w:val="24"/>
          <w:szCs w:val="24"/>
          <w:rtl/>
        </w:rPr>
        <w:t>סעיף הלקוחות בדוכ"ס המאוחדים כוללים הכנסות שהתקבלו מחברת סונול.</w:t>
      </w:r>
    </w:p>
    <w:p w:rsidR="006E6C2E" w:rsidRPr="006E6C2E" w:rsidRDefault="006E6C2E" w:rsidP="006E6C2E">
      <w:pPr>
        <w:pStyle w:val="a7"/>
        <w:numPr>
          <w:ilvl w:val="0"/>
          <w:numId w:val="26"/>
        </w:numPr>
        <w:spacing w:after="120" w:line="360" w:lineRule="auto"/>
        <w:jc w:val="both"/>
        <w:rPr>
          <w:rFonts w:ascii="David" w:hAnsi="David" w:cs="David"/>
          <w:color w:val="FF0000"/>
          <w:sz w:val="24"/>
          <w:szCs w:val="24"/>
        </w:rPr>
      </w:pPr>
      <w:r>
        <w:rPr>
          <w:rFonts w:ascii="David" w:hAnsi="David" w:cs="David" w:hint="cs"/>
          <w:sz w:val="24"/>
          <w:szCs w:val="24"/>
          <w:rtl/>
        </w:rPr>
        <w:t>ההכנסות של טמבור וסונול נרשמות בטמבור וסונול כיוון שהן מאוחדות ומהוות מרכיב מרכזי בדוכ"ס המאוחדים (לא למדנו עדיין נפרט כשנלמד את נייר העמדה 199-9)</w:t>
      </w:r>
    </w:p>
    <w:p w:rsidR="006E6C2E" w:rsidRDefault="006E6C2E" w:rsidP="006E6C2E">
      <w:pPr>
        <w:pStyle w:val="a7"/>
        <w:numPr>
          <w:ilvl w:val="0"/>
          <w:numId w:val="26"/>
        </w:numPr>
        <w:spacing w:after="120" w:line="360" w:lineRule="auto"/>
        <w:jc w:val="both"/>
        <w:rPr>
          <w:rFonts w:ascii="David" w:hAnsi="David" w:cs="David"/>
          <w:color w:val="FF0000"/>
          <w:sz w:val="24"/>
          <w:szCs w:val="24"/>
        </w:rPr>
      </w:pPr>
      <w:r>
        <w:rPr>
          <w:rFonts w:ascii="David" w:hAnsi="David" w:cs="David" w:hint="cs"/>
          <w:sz w:val="24"/>
          <w:szCs w:val="24"/>
          <w:rtl/>
        </w:rPr>
        <w:t xml:space="preserve">אין פה פסקת הסתמכות על חוו"ד שאמורה להופיע לאחר הפסקה הראשונה </w:t>
      </w:r>
      <w:r>
        <w:rPr>
          <w:rFonts w:ascii="David" w:hAnsi="David" w:cs="David"/>
          <w:sz w:val="24"/>
          <w:szCs w:val="24"/>
          <w:rtl/>
        </w:rPr>
        <w:t>–</w:t>
      </w:r>
      <w:r>
        <w:rPr>
          <w:rFonts w:ascii="David" w:hAnsi="David" w:cs="David" w:hint="cs"/>
          <w:sz w:val="24"/>
          <w:szCs w:val="24"/>
          <w:rtl/>
        </w:rPr>
        <w:t xml:space="preserve"> המשמעות היא שאותו רו"</w:t>
      </w:r>
      <w:r w:rsidR="0018578B">
        <w:rPr>
          <w:rFonts w:ascii="David" w:hAnsi="David" w:cs="David" w:hint="cs"/>
          <w:sz w:val="24"/>
          <w:szCs w:val="24"/>
          <w:rtl/>
        </w:rPr>
        <w:t>ח ברי</w:t>
      </w:r>
      <w:r>
        <w:rPr>
          <w:rFonts w:ascii="David" w:hAnsi="David" w:cs="David" w:hint="cs"/>
          <w:sz w:val="24"/>
          <w:szCs w:val="24"/>
          <w:rtl/>
        </w:rPr>
        <w:t xml:space="preserve">יטמן ביקר גם את אפקטיביות רכיבי הבקרה הפנימית </w:t>
      </w:r>
      <w:r w:rsidR="0018578B">
        <w:rPr>
          <w:rFonts w:ascii="David" w:hAnsi="David" w:cs="David" w:hint="cs"/>
          <w:sz w:val="24"/>
          <w:szCs w:val="24"/>
          <w:rtl/>
        </w:rPr>
        <w:t>אצל סונול , טמבור וחברת דרך הים</w:t>
      </w:r>
      <w:r>
        <w:rPr>
          <w:rFonts w:ascii="David" w:hAnsi="David" w:cs="David" w:hint="cs"/>
          <w:sz w:val="24"/>
          <w:szCs w:val="24"/>
          <w:rtl/>
        </w:rPr>
        <w:t xml:space="preserve">.   </w:t>
      </w:r>
    </w:p>
    <w:p w:rsidR="00BF4ED6" w:rsidRDefault="005D259E" w:rsidP="00BF4ED6">
      <w:pPr>
        <w:spacing w:after="120" w:line="360" w:lineRule="auto"/>
        <w:jc w:val="both"/>
        <w:rPr>
          <w:rFonts w:ascii="David" w:hAnsi="David" w:cs="David"/>
          <w:b/>
          <w:bCs/>
          <w:color w:val="FF0000"/>
          <w:sz w:val="24"/>
          <w:szCs w:val="24"/>
        </w:rPr>
      </w:pPr>
      <w:r>
        <w:rPr>
          <w:rFonts w:ascii="David" w:hAnsi="David" w:cs="David" w:hint="cs"/>
          <w:b/>
          <w:bCs/>
          <w:color w:val="FF0000"/>
          <w:sz w:val="24"/>
          <w:szCs w:val="24"/>
          <w:rtl/>
        </w:rPr>
        <w:t xml:space="preserve">דוגמא 2 מהדף שחולק </w:t>
      </w:r>
      <w:r>
        <w:rPr>
          <w:rFonts w:ascii="David" w:hAnsi="David" w:cs="David" w:hint="cs"/>
          <w:b/>
          <w:bCs/>
          <w:color w:val="FF0000"/>
          <w:sz w:val="24"/>
          <w:szCs w:val="24"/>
        </w:rPr>
        <w:t>BDO</w:t>
      </w:r>
    </w:p>
    <w:p w:rsidR="00871B1A" w:rsidRPr="00871B1A" w:rsidRDefault="00871B1A" w:rsidP="001A070A">
      <w:pPr>
        <w:spacing w:after="120" w:line="360" w:lineRule="auto"/>
        <w:jc w:val="both"/>
        <w:rPr>
          <w:rFonts w:ascii="David" w:hAnsi="David" w:cs="David"/>
          <w:b/>
          <w:bCs/>
          <w:sz w:val="24"/>
          <w:szCs w:val="24"/>
          <w:u w:val="single"/>
          <w:rtl/>
        </w:rPr>
      </w:pPr>
      <w:r w:rsidRPr="00871B1A">
        <w:rPr>
          <w:rFonts w:ascii="David" w:hAnsi="David" w:cs="David" w:hint="cs"/>
          <w:b/>
          <w:bCs/>
          <w:sz w:val="24"/>
          <w:szCs w:val="24"/>
          <w:u w:val="single"/>
          <w:rtl/>
        </w:rPr>
        <w:t>הרכב חוו"ד על רכיבי בקרה פנימית</w:t>
      </w:r>
    </w:p>
    <w:p w:rsidR="00871B1A" w:rsidRDefault="00871B1A" w:rsidP="001A070A">
      <w:pPr>
        <w:spacing w:after="120" w:line="360" w:lineRule="auto"/>
        <w:jc w:val="both"/>
        <w:rPr>
          <w:rFonts w:ascii="David" w:hAnsi="David" w:cs="David"/>
          <w:sz w:val="24"/>
          <w:szCs w:val="24"/>
          <w:rtl/>
        </w:rPr>
      </w:pPr>
      <w:r>
        <w:rPr>
          <w:rFonts w:ascii="David" w:hAnsi="David" w:cs="David" w:hint="cs"/>
          <w:sz w:val="24"/>
          <w:szCs w:val="24"/>
          <w:rtl/>
        </w:rPr>
        <w:t>חוו"ד מורכבת מ</w:t>
      </w:r>
      <w:r>
        <w:rPr>
          <w:rFonts w:ascii="David" w:hAnsi="David" w:cs="David" w:hint="cs"/>
          <w:b/>
          <w:bCs/>
          <w:sz w:val="24"/>
          <w:szCs w:val="24"/>
          <w:rtl/>
        </w:rPr>
        <w:t xml:space="preserve">כותרת והפניה, </w:t>
      </w:r>
    </w:p>
    <w:p w:rsidR="00871B1A" w:rsidRDefault="00871B1A" w:rsidP="001A070A">
      <w:pPr>
        <w:spacing w:after="120" w:line="360" w:lineRule="auto"/>
        <w:jc w:val="both"/>
        <w:rPr>
          <w:rFonts w:ascii="David" w:hAnsi="David" w:cs="David"/>
          <w:sz w:val="24"/>
          <w:szCs w:val="24"/>
          <w:rtl/>
        </w:rPr>
      </w:pPr>
      <w:r w:rsidRPr="00871B1A">
        <w:rPr>
          <w:rFonts w:ascii="David" w:hAnsi="David" w:cs="David" w:hint="cs"/>
          <w:b/>
          <w:bCs/>
          <w:sz w:val="24"/>
          <w:szCs w:val="24"/>
          <w:rtl/>
        </w:rPr>
        <w:t>בפסקה הראשונה</w:t>
      </w:r>
      <w:r>
        <w:rPr>
          <w:rFonts w:ascii="David" w:hAnsi="David" w:cs="David" w:hint="cs"/>
          <w:sz w:val="24"/>
          <w:szCs w:val="24"/>
          <w:rtl/>
        </w:rPr>
        <w:t xml:space="preserve">- המתייחסת לתאריך המאזן הנוכחי בלבד, </w:t>
      </w:r>
    </w:p>
    <w:p w:rsidR="00871B1A" w:rsidRDefault="00871B1A" w:rsidP="001A070A">
      <w:pPr>
        <w:spacing w:after="120" w:line="360" w:lineRule="auto"/>
        <w:jc w:val="both"/>
        <w:rPr>
          <w:rFonts w:ascii="David" w:hAnsi="David" w:cs="David"/>
          <w:sz w:val="24"/>
          <w:szCs w:val="24"/>
          <w:rtl/>
        </w:rPr>
      </w:pPr>
      <w:r w:rsidRPr="00871B1A">
        <w:rPr>
          <w:rFonts w:ascii="David" w:hAnsi="David" w:cs="David" w:hint="cs"/>
          <w:b/>
          <w:bCs/>
          <w:sz w:val="24"/>
          <w:szCs w:val="24"/>
          <w:rtl/>
        </w:rPr>
        <w:t xml:space="preserve">בפסקה </w:t>
      </w:r>
      <w:r>
        <w:rPr>
          <w:rFonts w:ascii="David" w:hAnsi="David" w:cs="David" w:hint="cs"/>
          <w:b/>
          <w:bCs/>
          <w:sz w:val="24"/>
          <w:szCs w:val="24"/>
          <w:rtl/>
        </w:rPr>
        <w:t>ה</w:t>
      </w:r>
      <w:r w:rsidRPr="00871B1A">
        <w:rPr>
          <w:rFonts w:ascii="David" w:hAnsi="David" w:cs="David" w:hint="cs"/>
          <w:b/>
          <w:bCs/>
          <w:sz w:val="24"/>
          <w:szCs w:val="24"/>
          <w:rtl/>
        </w:rPr>
        <w:t>שניה</w:t>
      </w:r>
      <w:r>
        <w:rPr>
          <w:rFonts w:ascii="David" w:hAnsi="David" w:cs="David" w:hint="cs"/>
          <w:b/>
          <w:bCs/>
          <w:sz w:val="24"/>
          <w:szCs w:val="24"/>
          <w:rtl/>
        </w:rPr>
        <w:t>-</w:t>
      </w:r>
      <w:r>
        <w:rPr>
          <w:rFonts w:ascii="David" w:hAnsi="David" w:cs="David" w:hint="cs"/>
          <w:sz w:val="24"/>
          <w:szCs w:val="24"/>
          <w:rtl/>
        </w:rPr>
        <w:t xml:space="preserve"> המתייחסת לרכיבי הבקרה שבוקרו, </w:t>
      </w:r>
    </w:p>
    <w:p w:rsidR="00871B1A" w:rsidRDefault="00871B1A" w:rsidP="001A070A">
      <w:pPr>
        <w:spacing w:after="120" w:line="360" w:lineRule="auto"/>
        <w:jc w:val="both"/>
        <w:rPr>
          <w:rFonts w:ascii="David" w:hAnsi="David" w:cs="David"/>
          <w:sz w:val="24"/>
          <w:szCs w:val="24"/>
          <w:rtl/>
        </w:rPr>
      </w:pPr>
      <w:r w:rsidRPr="00871B1A">
        <w:rPr>
          <w:rFonts w:ascii="David" w:hAnsi="David" w:cs="David" w:hint="cs"/>
          <w:b/>
          <w:bCs/>
          <w:sz w:val="24"/>
          <w:szCs w:val="24"/>
          <w:rtl/>
        </w:rPr>
        <w:t xml:space="preserve">בפסקה </w:t>
      </w:r>
      <w:r>
        <w:rPr>
          <w:rFonts w:ascii="David" w:hAnsi="David" w:cs="David" w:hint="cs"/>
          <w:b/>
          <w:bCs/>
          <w:sz w:val="24"/>
          <w:szCs w:val="24"/>
          <w:rtl/>
        </w:rPr>
        <w:t>ה</w:t>
      </w:r>
      <w:r w:rsidRPr="00871B1A">
        <w:rPr>
          <w:rFonts w:ascii="David" w:hAnsi="David" w:cs="David" w:hint="cs"/>
          <w:b/>
          <w:bCs/>
          <w:sz w:val="24"/>
          <w:szCs w:val="24"/>
          <w:rtl/>
        </w:rPr>
        <w:t>שלישית</w:t>
      </w:r>
      <w:r>
        <w:rPr>
          <w:rFonts w:ascii="David" w:hAnsi="David" w:cs="David" w:hint="cs"/>
          <w:b/>
          <w:bCs/>
          <w:sz w:val="24"/>
          <w:szCs w:val="24"/>
          <w:rtl/>
        </w:rPr>
        <w:t>-</w:t>
      </w:r>
      <w:r>
        <w:rPr>
          <w:rFonts w:ascii="David" w:hAnsi="David" w:cs="David" w:hint="cs"/>
          <w:sz w:val="24"/>
          <w:szCs w:val="24"/>
          <w:rtl/>
        </w:rPr>
        <w:t xml:space="preserve"> המתארת את היקף עבודת הביקורת, </w:t>
      </w:r>
    </w:p>
    <w:p w:rsidR="00871B1A" w:rsidRDefault="00871B1A" w:rsidP="001A070A">
      <w:pPr>
        <w:spacing w:after="120" w:line="360" w:lineRule="auto"/>
        <w:jc w:val="both"/>
        <w:rPr>
          <w:rFonts w:ascii="David" w:hAnsi="David" w:cs="David"/>
          <w:b/>
          <w:bCs/>
          <w:sz w:val="24"/>
          <w:szCs w:val="24"/>
          <w:rtl/>
        </w:rPr>
      </w:pPr>
      <w:r w:rsidRPr="00871B1A">
        <w:rPr>
          <w:rFonts w:ascii="David" w:hAnsi="David" w:cs="David" w:hint="cs"/>
          <w:b/>
          <w:bCs/>
          <w:sz w:val="24"/>
          <w:szCs w:val="24"/>
          <w:rtl/>
        </w:rPr>
        <w:t xml:space="preserve">בפסקה </w:t>
      </w:r>
      <w:r>
        <w:rPr>
          <w:rFonts w:ascii="David" w:hAnsi="David" w:cs="David" w:hint="cs"/>
          <w:b/>
          <w:bCs/>
          <w:sz w:val="24"/>
          <w:szCs w:val="24"/>
          <w:rtl/>
        </w:rPr>
        <w:t>ה</w:t>
      </w:r>
      <w:r w:rsidRPr="00871B1A">
        <w:rPr>
          <w:rFonts w:ascii="David" w:hAnsi="David" w:cs="David" w:hint="cs"/>
          <w:b/>
          <w:bCs/>
          <w:sz w:val="24"/>
          <w:szCs w:val="24"/>
          <w:rtl/>
        </w:rPr>
        <w:t>רביעית</w:t>
      </w:r>
      <w:r>
        <w:rPr>
          <w:rFonts w:ascii="David" w:hAnsi="David" w:cs="David" w:hint="cs"/>
          <w:b/>
          <w:bCs/>
          <w:sz w:val="24"/>
          <w:szCs w:val="24"/>
          <w:rtl/>
        </w:rPr>
        <w:t>-</w:t>
      </w:r>
      <w:r>
        <w:rPr>
          <w:rFonts w:ascii="David" w:hAnsi="David" w:cs="David" w:hint="cs"/>
          <w:sz w:val="24"/>
          <w:szCs w:val="24"/>
          <w:rtl/>
        </w:rPr>
        <w:t xml:space="preserve"> שבה מצמצמים את פער הציפיות בהסבר על מגבלות מובנות בבקרה הפנימית , </w:t>
      </w:r>
    </w:p>
    <w:p w:rsidR="00871B1A" w:rsidRDefault="00871B1A" w:rsidP="001A070A">
      <w:pPr>
        <w:spacing w:after="120" w:line="360" w:lineRule="auto"/>
        <w:jc w:val="both"/>
        <w:rPr>
          <w:rFonts w:ascii="David" w:hAnsi="David" w:cs="David"/>
          <w:b/>
          <w:bCs/>
          <w:sz w:val="24"/>
          <w:szCs w:val="24"/>
          <w:rtl/>
        </w:rPr>
      </w:pPr>
    </w:p>
    <w:p w:rsidR="00871B1A" w:rsidRDefault="00871B1A" w:rsidP="001A070A">
      <w:pPr>
        <w:spacing w:after="120" w:line="360" w:lineRule="auto"/>
        <w:jc w:val="both"/>
        <w:rPr>
          <w:rFonts w:ascii="David" w:hAnsi="David" w:cs="David"/>
          <w:sz w:val="24"/>
          <w:szCs w:val="24"/>
          <w:rtl/>
        </w:rPr>
      </w:pPr>
      <w:r>
        <w:rPr>
          <w:rFonts w:ascii="David" w:hAnsi="David" w:cs="David" w:hint="cs"/>
          <w:b/>
          <w:bCs/>
          <w:sz w:val="24"/>
          <w:szCs w:val="24"/>
          <w:rtl/>
        </w:rPr>
        <w:lastRenderedPageBreak/>
        <w:t>ב</w:t>
      </w:r>
      <w:r w:rsidRPr="00871B1A">
        <w:rPr>
          <w:rFonts w:ascii="David" w:hAnsi="David" w:cs="David" w:hint="cs"/>
          <w:b/>
          <w:bCs/>
          <w:sz w:val="24"/>
          <w:szCs w:val="24"/>
          <w:rtl/>
        </w:rPr>
        <w:t xml:space="preserve">פסקה </w:t>
      </w:r>
      <w:r>
        <w:rPr>
          <w:rFonts w:ascii="David" w:hAnsi="David" w:cs="David" w:hint="cs"/>
          <w:b/>
          <w:bCs/>
          <w:sz w:val="24"/>
          <w:szCs w:val="24"/>
          <w:rtl/>
        </w:rPr>
        <w:t>ה</w:t>
      </w:r>
      <w:r w:rsidRPr="00871B1A">
        <w:rPr>
          <w:rFonts w:ascii="David" w:hAnsi="David" w:cs="David" w:hint="cs"/>
          <w:b/>
          <w:bCs/>
          <w:sz w:val="24"/>
          <w:szCs w:val="24"/>
          <w:rtl/>
        </w:rPr>
        <w:t>חמישית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פסקת חוו"ד המתייחסת ליום המאזן , אם חוו"ד היא שלילית במקום הפסקה ה-5 ניקח את כל מה שנקבע בנספח ג' לת"ב 104, </w:t>
      </w:r>
    </w:p>
    <w:p w:rsidR="00871B1A" w:rsidRDefault="00871B1A" w:rsidP="001A070A">
      <w:pPr>
        <w:spacing w:after="120" w:line="360" w:lineRule="auto"/>
        <w:jc w:val="both"/>
        <w:rPr>
          <w:rFonts w:ascii="David" w:hAnsi="David" w:cs="David"/>
          <w:sz w:val="24"/>
          <w:szCs w:val="24"/>
          <w:rtl/>
        </w:rPr>
      </w:pPr>
      <w:r>
        <w:rPr>
          <w:rFonts w:ascii="David" w:hAnsi="David" w:cs="David" w:hint="cs"/>
          <w:b/>
          <w:bCs/>
          <w:sz w:val="24"/>
          <w:szCs w:val="24"/>
          <w:rtl/>
        </w:rPr>
        <w:t xml:space="preserve">הפסקה השישית - </w:t>
      </w:r>
      <w:r>
        <w:rPr>
          <w:rFonts w:ascii="David" w:hAnsi="David" w:cs="David" w:hint="cs"/>
          <w:sz w:val="24"/>
          <w:szCs w:val="24"/>
          <w:rtl/>
        </w:rPr>
        <w:t>מתארת את ביקורת הדוכ"ס ובפסקה זו תתואר ההתייחסות גם לדוכ"ס ההשוואתיים לרבות התייחסות לרו"ח קודמים אם היו כאלה ולרבות לרו"ח מבקרים אחרים בדוכ"ס מאוחדים וציון סוג חוו"ד .</w:t>
      </w:r>
    </w:p>
    <w:p w:rsidR="00871B1A" w:rsidRDefault="00871B1A" w:rsidP="001A070A">
      <w:pPr>
        <w:spacing w:after="120" w:line="360" w:lineRule="auto"/>
        <w:jc w:val="both"/>
        <w:rPr>
          <w:rFonts w:ascii="David" w:hAnsi="David" w:cs="David"/>
          <w:sz w:val="24"/>
          <w:szCs w:val="24"/>
          <w:rtl/>
        </w:rPr>
      </w:pPr>
      <w:r>
        <w:rPr>
          <w:rFonts w:ascii="David" w:hAnsi="David" w:cs="David" w:hint="cs"/>
          <w:sz w:val="24"/>
          <w:szCs w:val="24"/>
          <w:rtl/>
        </w:rPr>
        <w:t xml:space="preserve">אם חוו"ד על הדוכ"ס אפילו של מספרי השוואה סוטה מהנוסח האחיד יש לציין את סוג חוו"ד והסבר לאותה סטיה. </w:t>
      </w:r>
    </w:p>
    <w:p w:rsidR="00871B1A" w:rsidRPr="00871B1A" w:rsidRDefault="00871B1A" w:rsidP="001A070A">
      <w:pPr>
        <w:spacing w:after="120" w:line="360" w:lineRule="auto"/>
        <w:jc w:val="both"/>
        <w:rPr>
          <w:rFonts w:ascii="David" w:hAnsi="David" w:cs="David"/>
          <w:b/>
          <w:bCs/>
          <w:sz w:val="24"/>
          <w:szCs w:val="24"/>
          <w:rtl/>
        </w:rPr>
      </w:pPr>
      <w:r>
        <w:rPr>
          <w:rFonts w:ascii="David" w:hAnsi="David" w:cs="David" w:hint="cs"/>
          <w:sz w:val="24"/>
          <w:szCs w:val="24"/>
          <w:rtl/>
        </w:rPr>
        <w:t xml:space="preserve">בנוסף חוו"ד כוללת </w:t>
      </w:r>
      <w:r>
        <w:rPr>
          <w:rFonts w:ascii="David" w:hAnsi="David" w:cs="David" w:hint="cs"/>
          <w:b/>
          <w:bCs/>
          <w:sz w:val="24"/>
          <w:szCs w:val="24"/>
          <w:rtl/>
        </w:rPr>
        <w:t>תאריך וחתימה .</w:t>
      </w:r>
    </w:p>
    <w:p w:rsidR="00871B1A" w:rsidRDefault="00871B1A" w:rsidP="001A070A">
      <w:pPr>
        <w:spacing w:after="120" w:line="360" w:lineRule="auto"/>
        <w:jc w:val="both"/>
        <w:rPr>
          <w:rFonts w:ascii="David" w:hAnsi="David" w:cs="David" w:hint="cs"/>
          <w:b/>
          <w:bCs/>
          <w:sz w:val="24"/>
          <w:szCs w:val="24"/>
          <w:u w:val="single"/>
          <w:rtl/>
        </w:rPr>
      </w:pPr>
      <w:r>
        <w:rPr>
          <w:rFonts w:ascii="David" w:hAnsi="David" w:cs="David" w:hint="cs"/>
          <w:b/>
          <w:bCs/>
          <w:sz w:val="24"/>
          <w:szCs w:val="24"/>
          <w:u w:val="single"/>
          <w:rtl/>
        </w:rPr>
        <w:t>גישת ה</w:t>
      </w:r>
      <w:r w:rsidR="000D2AA6">
        <w:rPr>
          <w:rFonts w:ascii="David" w:hAnsi="David" w:cs="David" w:hint="cs"/>
          <w:b/>
          <w:bCs/>
          <w:sz w:val="24"/>
          <w:szCs w:val="24"/>
          <w:u w:val="single"/>
          <w:rtl/>
        </w:rPr>
        <w:t>"</w:t>
      </w:r>
      <w:r>
        <w:rPr>
          <w:rFonts w:ascii="David" w:hAnsi="David" w:cs="David" w:hint="cs"/>
          <w:b/>
          <w:bCs/>
          <w:sz w:val="24"/>
          <w:szCs w:val="24"/>
          <w:u w:val="single"/>
          <w:rtl/>
        </w:rPr>
        <w:t>מעלה מטה</w:t>
      </w:r>
      <w:r w:rsidR="000D2AA6">
        <w:rPr>
          <w:rFonts w:ascii="David" w:hAnsi="David" w:cs="David" w:hint="cs"/>
          <w:b/>
          <w:bCs/>
          <w:sz w:val="24"/>
          <w:szCs w:val="24"/>
          <w:u w:val="single"/>
          <w:rtl/>
        </w:rPr>
        <w:t>"</w:t>
      </w:r>
      <w:r>
        <w:rPr>
          <w:rFonts w:ascii="David" w:hAnsi="David" w:cs="David" w:hint="cs"/>
          <w:b/>
          <w:bCs/>
          <w:sz w:val="24"/>
          <w:szCs w:val="24"/>
          <w:u w:val="single"/>
          <w:rtl/>
        </w:rPr>
        <w:t xml:space="preserve"> </w:t>
      </w:r>
    </w:p>
    <w:p w:rsidR="00871B1A" w:rsidRDefault="00871B1A" w:rsidP="001A070A">
      <w:pPr>
        <w:spacing w:after="120" w:line="360" w:lineRule="auto"/>
        <w:jc w:val="both"/>
        <w:rPr>
          <w:rFonts w:ascii="David" w:hAnsi="David" w:cs="David"/>
          <w:sz w:val="24"/>
          <w:szCs w:val="24"/>
          <w:rtl/>
        </w:rPr>
      </w:pPr>
      <w:r>
        <w:rPr>
          <w:rFonts w:ascii="David" w:hAnsi="David" w:cs="David" w:hint="cs"/>
          <w:sz w:val="24"/>
          <w:szCs w:val="24"/>
          <w:rtl/>
        </w:rPr>
        <w:t xml:space="preserve">אחד העקרונות המרכזיים בבסיס הערכת האפקטיביות של הבקרה הפנימית הוא גישת המעלה מטה , נקודת המוצא של גישה זו היא דו"חות התאגיד תוך שילוב ההבנה של הנהלת התאגיד , את סיכוני הדיווח הכספי והגילוי , על פי גישה זו ההנהלה צריכה להתמקד בסעיפי הדיווח הכספי ופריטי הגילוי שהם מהותיים למשתמשי הדוכ"ס , באופן אשר הצגה מוטעית שלהם עשויה להשפיע על קבלת החלטות כלכליות ע"י משתמשים באותם סעיפי דיווח כספי ופריטי גילוי שיש סבירות גבוהה לטעות מהותית בהם. </w:t>
      </w:r>
    </w:p>
    <w:p w:rsidR="00CA2C84" w:rsidRPr="00871B1A" w:rsidRDefault="00CA2C84" w:rsidP="001508CA">
      <w:pPr>
        <w:spacing w:after="120" w:line="360" w:lineRule="auto"/>
        <w:jc w:val="both"/>
        <w:rPr>
          <w:rFonts w:ascii="David" w:hAnsi="David" w:cs="David"/>
          <w:sz w:val="24"/>
          <w:szCs w:val="24"/>
          <w:rtl/>
        </w:rPr>
      </w:pPr>
      <w:r>
        <w:rPr>
          <w:rFonts w:ascii="David" w:hAnsi="David" w:cs="David" w:hint="cs"/>
          <w:sz w:val="24"/>
          <w:szCs w:val="24"/>
          <w:rtl/>
        </w:rPr>
        <w:t xml:space="preserve">בהמשך לכך , על ההנהלה לבחון את ניהול סיכוני הדיווח הכספי והגילוי ע"י התאגיד דהיינו האם ובאיזו מידה נותנות הבקרות הפנימיות בתאגיד מענה ראוי לסיכונים אלה . לצורך כך, נדרשת ההנהלה לבחון , האם קיימים </w:t>
      </w:r>
      <w:r w:rsidR="000D2AA6">
        <w:rPr>
          <w:rFonts w:ascii="David" w:hAnsi="David" w:cs="David" w:hint="cs"/>
          <w:sz w:val="24"/>
          <w:szCs w:val="24"/>
          <w:rtl/>
        </w:rPr>
        <w:t>בקרות ונהלים העונים על סיכוני ה</w:t>
      </w:r>
      <w:r>
        <w:rPr>
          <w:rFonts w:ascii="David" w:hAnsi="David" w:cs="David" w:hint="cs"/>
          <w:sz w:val="24"/>
          <w:szCs w:val="24"/>
          <w:rtl/>
        </w:rPr>
        <w:t xml:space="preserve">דיווח הכספי והגילוי </w:t>
      </w:r>
      <w:r w:rsidR="000D2AA6">
        <w:rPr>
          <w:rFonts w:ascii="David" w:hAnsi="David" w:cs="David" w:hint="cs"/>
          <w:sz w:val="24"/>
          <w:szCs w:val="24"/>
          <w:rtl/>
        </w:rPr>
        <w:t xml:space="preserve">ולבחון את הראיות לגבי תפקוד הבקרות והנהלים הלכה למעשה. </w:t>
      </w:r>
    </w:p>
    <w:p w:rsidR="000D2AA6" w:rsidRDefault="000D2AA6" w:rsidP="000D2AA6">
      <w:pPr>
        <w:spacing w:after="120" w:line="360" w:lineRule="auto"/>
        <w:jc w:val="both"/>
        <w:rPr>
          <w:rFonts w:ascii="David" w:hAnsi="David" w:cs="David"/>
          <w:sz w:val="24"/>
          <w:szCs w:val="24"/>
          <w:rtl/>
        </w:rPr>
      </w:pPr>
      <w:r w:rsidRPr="000D2AA6">
        <w:rPr>
          <w:rFonts w:ascii="David" w:hAnsi="David" w:cs="David" w:hint="cs"/>
          <w:sz w:val="24"/>
          <w:szCs w:val="24"/>
          <w:rtl/>
        </w:rPr>
        <w:t>גישת ה"מעלה מטה" מתארת תהליך עבודה של ההנהלה בזיהוי תהליכי הדיווח והגילוי ובזיהוי הבקרות הנבדקות במסגרת הערכת האפקטיביות של הבקרה הפנימית על הדיווח הכספי והגילוי</w:t>
      </w:r>
      <w:r>
        <w:rPr>
          <w:rFonts w:ascii="David" w:hAnsi="David" w:cs="David" w:hint="cs"/>
          <w:sz w:val="24"/>
          <w:szCs w:val="24"/>
          <w:rtl/>
        </w:rPr>
        <w:t>.</w:t>
      </w:r>
    </w:p>
    <w:p w:rsidR="001508CA" w:rsidRPr="001508CA" w:rsidRDefault="001508CA" w:rsidP="000D2AA6">
      <w:pPr>
        <w:spacing w:after="120" w:line="360" w:lineRule="auto"/>
        <w:jc w:val="both"/>
        <w:rPr>
          <w:rFonts w:ascii="David" w:hAnsi="David" w:cs="David"/>
          <w:b/>
          <w:bCs/>
          <w:sz w:val="24"/>
          <w:szCs w:val="24"/>
          <w:rtl/>
        </w:rPr>
      </w:pPr>
      <w:r w:rsidRPr="001508CA">
        <w:rPr>
          <w:rFonts w:ascii="David" w:hAnsi="David" w:cs="David" w:hint="cs"/>
          <w:b/>
          <w:bCs/>
          <w:sz w:val="24"/>
          <w:szCs w:val="24"/>
          <w:rtl/>
        </w:rPr>
        <w:t>כעת אנו חוזרים לנייר עמדה 199-9.</w:t>
      </w:r>
    </w:p>
    <w:p w:rsidR="000D2AA6" w:rsidRDefault="001508CA" w:rsidP="000D2AA6">
      <w:pPr>
        <w:spacing w:after="120" w:line="360" w:lineRule="auto"/>
        <w:jc w:val="both"/>
        <w:rPr>
          <w:rFonts w:ascii="David" w:hAnsi="David" w:cs="David" w:hint="cs"/>
          <w:b/>
          <w:bCs/>
          <w:sz w:val="24"/>
          <w:szCs w:val="24"/>
          <w:u w:val="single"/>
          <w:rtl/>
        </w:rPr>
      </w:pPr>
      <w:r>
        <w:rPr>
          <w:rFonts w:ascii="David" w:hAnsi="David" w:cs="David" w:hint="cs"/>
          <w:b/>
          <w:bCs/>
          <w:sz w:val="24"/>
          <w:szCs w:val="24"/>
          <w:u w:val="single"/>
          <w:rtl/>
        </w:rPr>
        <w:t xml:space="preserve">אופן הזיהוי של תהליכים מהותיים מאד לדיווח הכספי והגילוי </w:t>
      </w:r>
    </w:p>
    <w:p w:rsidR="001508CA" w:rsidRDefault="001508CA" w:rsidP="000D2AA6">
      <w:pPr>
        <w:spacing w:after="120" w:line="360" w:lineRule="auto"/>
        <w:jc w:val="both"/>
        <w:rPr>
          <w:rFonts w:ascii="David" w:hAnsi="David" w:cs="David" w:hint="cs"/>
          <w:sz w:val="24"/>
          <w:szCs w:val="24"/>
          <w:rtl/>
        </w:rPr>
      </w:pPr>
      <w:r>
        <w:rPr>
          <w:rFonts w:ascii="David" w:hAnsi="David" w:cs="David" w:hint="cs"/>
          <w:sz w:val="24"/>
          <w:szCs w:val="24"/>
          <w:rtl/>
        </w:rPr>
        <w:t xml:space="preserve">על זיהוי התהליכים המהותיים מאד, להתבסס על מיפוי אותם תהליכים הנוגעים באותם פירטי דיווח כספי וגילוי שהנהלת התאגיד מצאה אותם כמסוכנים , בהתאם לגישת ה"מעלה מטה" והערכת הסיכונים. התאגיד יעריך את גורמי הסיכון להצגה מוטעית מהותית בפירטי דיווח כספי וגילוי הקשורים בתהליכים השונים . לשם זיהוי תהליכים מהותיים מאד לדיווח הכספי והגילוי יביא התאגיד בחשבון בין היתר את </w:t>
      </w:r>
      <w:r w:rsidRPr="001508CA">
        <w:rPr>
          <w:rFonts w:ascii="David" w:hAnsi="David" w:cs="David" w:hint="cs"/>
          <w:sz w:val="24"/>
          <w:szCs w:val="24"/>
          <w:u w:val="single"/>
          <w:rtl/>
        </w:rPr>
        <w:t xml:space="preserve">היקף הפעילות </w:t>
      </w:r>
      <w:r>
        <w:rPr>
          <w:rFonts w:ascii="David" w:hAnsi="David" w:cs="David" w:hint="cs"/>
          <w:sz w:val="24"/>
          <w:szCs w:val="24"/>
          <w:rtl/>
        </w:rPr>
        <w:t>אליה מתייחס התהליך מתוך סך הפעילות העסקית של התאגיד, ההיקף הכספי של הסעיפים הנובעים מהתהליך בדוכ"ס ומצבו העסקי והבנת פעילות התאגיד ע"י משקיע סביר וכן את אופי התהליכים, מורכבותם (למשל: פעילות במכשירים פיננסים יכולה להיות לא מהותית ביחס לפעילות אבל מורכבותם תהפוך אותם למהותיים) ורמת חשיפתם לטעויות בדיווח הכספי ובגילוי (בפרקטיקה מקובל כי תהליך ההכנסות בכל חברה הוא מהותי מאד וכן כל סעיף בדו"ח רוה"ס שסכומו מהווה לפחות 15% מסך כל ההכנסות, וכן בד"כ תהליך השכר, המלאי וכיוב') .</w:t>
      </w:r>
    </w:p>
    <w:p w:rsidR="001508CA" w:rsidRDefault="001508CA" w:rsidP="000D2AA6">
      <w:pPr>
        <w:spacing w:after="120" w:line="360" w:lineRule="auto"/>
        <w:jc w:val="both"/>
        <w:rPr>
          <w:rFonts w:ascii="David" w:hAnsi="David" w:cs="David"/>
          <w:sz w:val="24"/>
          <w:szCs w:val="24"/>
          <w:rtl/>
        </w:rPr>
      </w:pPr>
      <w:r>
        <w:rPr>
          <w:rFonts w:ascii="David" w:hAnsi="David" w:cs="David" w:hint="cs"/>
          <w:sz w:val="24"/>
          <w:szCs w:val="24"/>
          <w:rtl/>
        </w:rPr>
        <w:lastRenderedPageBreak/>
        <w:t>כל מנת לבחור את התהליכים שבהם קיים סיכון להתרחשות הצגה מוטעית מהותית בדיווח הכספי או בגילוי , תשקול הנהלת התאגיד בין היתר את הגורמים הבאים:</w:t>
      </w:r>
    </w:p>
    <w:p w:rsidR="001508CA" w:rsidRDefault="009B0522" w:rsidP="009B0522">
      <w:pPr>
        <w:pStyle w:val="a7"/>
        <w:numPr>
          <w:ilvl w:val="0"/>
          <w:numId w:val="28"/>
        </w:numPr>
        <w:spacing w:after="120" w:line="360" w:lineRule="auto"/>
        <w:jc w:val="both"/>
        <w:rPr>
          <w:rFonts w:ascii="David" w:hAnsi="David" w:cs="David"/>
          <w:sz w:val="24"/>
          <w:szCs w:val="24"/>
        </w:rPr>
      </w:pPr>
      <w:r>
        <w:rPr>
          <w:rFonts w:ascii="David" w:hAnsi="David" w:cs="David" w:hint="cs"/>
          <w:sz w:val="24"/>
          <w:szCs w:val="24"/>
          <w:rtl/>
        </w:rPr>
        <w:t>היקף הרישומים ועיבודי המידע הקשורים בתהליך ורמת ההומוגניות שלהם. (ככל שההיקף גדול יותר כך הסיכון גבוה יותר ככל שיש יותר מגזרי פעילות וכדו')</w:t>
      </w:r>
    </w:p>
    <w:p w:rsidR="009B0522" w:rsidRDefault="009B0522" w:rsidP="009B0522">
      <w:pPr>
        <w:pStyle w:val="a7"/>
        <w:numPr>
          <w:ilvl w:val="0"/>
          <w:numId w:val="28"/>
        </w:numPr>
        <w:spacing w:after="120" w:line="360" w:lineRule="auto"/>
        <w:jc w:val="both"/>
        <w:rPr>
          <w:rFonts w:ascii="David" w:hAnsi="David" w:cs="David"/>
          <w:sz w:val="24"/>
          <w:szCs w:val="24"/>
        </w:rPr>
      </w:pPr>
      <w:r>
        <w:rPr>
          <w:rFonts w:ascii="David" w:hAnsi="David" w:cs="David" w:hint="cs"/>
          <w:sz w:val="24"/>
          <w:szCs w:val="24"/>
          <w:rtl/>
        </w:rPr>
        <w:t xml:space="preserve">רמת המורכבות הטבעית בדיווח ובגילוי הנוסעים מהתהליך ביחס ליתר תחומי הפעילות בתאגיד ועמידת הגורמים העוסקים בדיווח ובגילוי בדרישות של כישורים מתאימים . (חברה מורכבת </w:t>
      </w:r>
      <w:r>
        <w:rPr>
          <w:rFonts w:ascii="David" w:hAnsi="David" w:cs="David"/>
          <w:sz w:val="24"/>
          <w:szCs w:val="24"/>
          <w:rtl/>
        </w:rPr>
        <w:t>–</w:t>
      </w:r>
      <w:r>
        <w:rPr>
          <w:rFonts w:ascii="David" w:hAnsi="David" w:cs="David" w:hint="cs"/>
          <w:sz w:val="24"/>
          <w:szCs w:val="24"/>
          <w:rtl/>
        </w:rPr>
        <w:t xml:space="preserve"> חברות אם עם בנות ונכדות....)</w:t>
      </w:r>
    </w:p>
    <w:p w:rsidR="009B0522" w:rsidRDefault="009B0522" w:rsidP="009B0522">
      <w:pPr>
        <w:pStyle w:val="a7"/>
        <w:numPr>
          <w:ilvl w:val="0"/>
          <w:numId w:val="28"/>
        </w:numPr>
        <w:spacing w:after="120" w:line="360" w:lineRule="auto"/>
        <w:jc w:val="both"/>
        <w:rPr>
          <w:rFonts w:ascii="David" w:hAnsi="David" w:cs="David"/>
          <w:sz w:val="24"/>
          <w:szCs w:val="24"/>
        </w:rPr>
      </w:pPr>
      <w:r>
        <w:rPr>
          <w:rFonts w:ascii="David" w:hAnsi="David" w:cs="David" w:hint="cs"/>
          <w:sz w:val="24"/>
          <w:szCs w:val="24"/>
          <w:rtl/>
        </w:rPr>
        <w:t>מידת שיקול הדעת שיש לגורמים בתאגיד בקשר עם הכרה ומדידה של סעיפי דיווח הנובעים מהתהליך לרבות משקלם של הערכות ואומדנים משמעותיים.</w:t>
      </w:r>
    </w:p>
    <w:p w:rsidR="009B0522" w:rsidRDefault="009B0522" w:rsidP="009B0522">
      <w:pPr>
        <w:pStyle w:val="a7"/>
        <w:numPr>
          <w:ilvl w:val="0"/>
          <w:numId w:val="28"/>
        </w:numPr>
        <w:spacing w:after="120" w:line="360" w:lineRule="auto"/>
        <w:jc w:val="both"/>
        <w:rPr>
          <w:rFonts w:ascii="David" w:hAnsi="David" w:cs="David"/>
          <w:sz w:val="24"/>
          <w:szCs w:val="24"/>
        </w:rPr>
      </w:pPr>
      <w:r>
        <w:rPr>
          <w:rFonts w:ascii="David" w:hAnsi="David" w:cs="David" w:hint="cs"/>
          <w:sz w:val="24"/>
          <w:szCs w:val="24"/>
          <w:rtl/>
        </w:rPr>
        <w:t xml:space="preserve">יכולת מערכות המידע לעבד את מורכבות התהליכים   </w:t>
      </w:r>
    </w:p>
    <w:p w:rsidR="009B0522" w:rsidRDefault="009B0522" w:rsidP="009B0522">
      <w:pPr>
        <w:pStyle w:val="a7"/>
        <w:numPr>
          <w:ilvl w:val="0"/>
          <w:numId w:val="28"/>
        </w:numPr>
        <w:spacing w:after="120" w:line="360" w:lineRule="auto"/>
        <w:jc w:val="both"/>
        <w:rPr>
          <w:rFonts w:ascii="David" w:hAnsi="David" w:cs="David" w:hint="cs"/>
          <w:sz w:val="24"/>
          <w:szCs w:val="24"/>
        </w:rPr>
      </w:pPr>
      <w:r>
        <w:rPr>
          <w:rFonts w:ascii="David" w:hAnsi="David" w:cs="David" w:hint="cs"/>
          <w:sz w:val="24"/>
          <w:szCs w:val="24"/>
          <w:rtl/>
        </w:rPr>
        <w:t xml:space="preserve">קיומו של ניגוד עניינים פוטנציאלי בתהליך </w:t>
      </w:r>
    </w:p>
    <w:p w:rsidR="009B0522" w:rsidRDefault="009B0522" w:rsidP="009B0522">
      <w:pPr>
        <w:pStyle w:val="a7"/>
        <w:numPr>
          <w:ilvl w:val="0"/>
          <w:numId w:val="28"/>
        </w:numPr>
        <w:spacing w:after="120" w:line="360" w:lineRule="auto"/>
        <w:jc w:val="both"/>
        <w:rPr>
          <w:rFonts w:ascii="David" w:hAnsi="David" w:cs="David" w:hint="cs"/>
          <w:sz w:val="24"/>
          <w:szCs w:val="24"/>
        </w:rPr>
      </w:pPr>
      <w:r>
        <w:rPr>
          <w:rFonts w:ascii="David" w:hAnsi="David" w:cs="David" w:hint="cs"/>
          <w:sz w:val="24"/>
          <w:szCs w:val="24"/>
          <w:rtl/>
        </w:rPr>
        <w:t>מידת הסיכון להונאה שגלומה בתהליך .</w:t>
      </w:r>
    </w:p>
    <w:p w:rsidR="009B0522" w:rsidRPr="009B0522" w:rsidRDefault="009B0522" w:rsidP="009B0522">
      <w:pPr>
        <w:pStyle w:val="a7"/>
        <w:numPr>
          <w:ilvl w:val="0"/>
          <w:numId w:val="28"/>
        </w:numPr>
        <w:spacing w:after="120" w:line="360" w:lineRule="auto"/>
        <w:jc w:val="both"/>
        <w:rPr>
          <w:rFonts w:ascii="David" w:hAnsi="David" w:cs="David" w:hint="cs"/>
          <w:sz w:val="24"/>
          <w:szCs w:val="24"/>
        </w:rPr>
      </w:pPr>
      <w:r>
        <w:rPr>
          <w:rFonts w:ascii="David" w:hAnsi="David" w:cs="David" w:hint="cs"/>
          <w:sz w:val="24"/>
          <w:szCs w:val="24"/>
          <w:rtl/>
        </w:rPr>
        <w:t xml:space="preserve">טעויות בתקופות דיווח קודמות או הצגות מוטעות מהותית אחרות בדו"חות קודמים . </w:t>
      </w:r>
    </w:p>
    <w:p w:rsidR="009B0522" w:rsidRDefault="009B0522" w:rsidP="009B0522">
      <w:pPr>
        <w:spacing w:after="120" w:line="360" w:lineRule="auto"/>
        <w:ind w:left="360"/>
        <w:jc w:val="both"/>
        <w:rPr>
          <w:rFonts w:ascii="David" w:hAnsi="David" w:cs="David" w:hint="cs"/>
          <w:b/>
          <w:bCs/>
          <w:sz w:val="24"/>
          <w:szCs w:val="24"/>
          <w:rtl/>
        </w:rPr>
      </w:pPr>
      <w:r>
        <w:rPr>
          <w:rFonts w:ascii="David" w:hAnsi="David" w:cs="David" w:hint="cs"/>
          <w:b/>
          <w:bCs/>
          <w:sz w:val="24"/>
          <w:szCs w:val="24"/>
          <w:rtl/>
        </w:rPr>
        <w:t>כל הסעיפים הללו נתונים לשיקול דעתה של ההנהלה באשר לקביעה האם הם מהותיים מאד.</w:t>
      </w:r>
    </w:p>
    <w:p w:rsidR="009B0522" w:rsidRPr="009B0522" w:rsidRDefault="009B0522" w:rsidP="009B0522">
      <w:pPr>
        <w:spacing w:after="120" w:line="360" w:lineRule="auto"/>
        <w:jc w:val="both"/>
        <w:rPr>
          <w:rFonts w:ascii="David" w:hAnsi="David" w:cs="David" w:hint="cs"/>
          <w:b/>
          <w:bCs/>
          <w:sz w:val="24"/>
          <w:szCs w:val="24"/>
          <w:rtl/>
        </w:rPr>
      </w:pPr>
    </w:p>
    <w:p w:rsidR="000D2AA6" w:rsidRDefault="000D2AA6" w:rsidP="001A070A">
      <w:pPr>
        <w:spacing w:after="120" w:line="360" w:lineRule="auto"/>
        <w:jc w:val="both"/>
        <w:rPr>
          <w:rFonts w:ascii="David" w:hAnsi="David" w:cs="David"/>
          <w:b/>
          <w:bCs/>
          <w:sz w:val="24"/>
          <w:szCs w:val="24"/>
          <w:u w:val="single"/>
          <w:rtl/>
        </w:rPr>
      </w:pPr>
    </w:p>
    <w:p w:rsidR="00763CBA" w:rsidRPr="00763CBA" w:rsidRDefault="00763CBA" w:rsidP="001A070A">
      <w:pPr>
        <w:spacing w:after="120" w:line="360" w:lineRule="auto"/>
        <w:jc w:val="both"/>
        <w:rPr>
          <w:rFonts w:ascii="David" w:hAnsi="David" w:cs="David"/>
          <w:b/>
          <w:bCs/>
          <w:sz w:val="24"/>
          <w:szCs w:val="24"/>
          <w:u w:val="single"/>
          <w:rtl/>
        </w:rPr>
      </w:pPr>
    </w:p>
    <w:p w:rsidR="007B3BF4" w:rsidRPr="00822921" w:rsidRDefault="007B3BF4" w:rsidP="001A070A">
      <w:pPr>
        <w:spacing w:after="120" w:line="360" w:lineRule="auto"/>
        <w:jc w:val="both"/>
        <w:rPr>
          <w:rFonts w:ascii="David" w:hAnsi="David" w:cs="David" w:hint="cs"/>
          <w:b/>
          <w:bCs/>
          <w:sz w:val="24"/>
          <w:szCs w:val="24"/>
          <w:rtl/>
        </w:rPr>
      </w:pPr>
    </w:p>
    <w:p w:rsidR="001A070A" w:rsidRDefault="001A070A" w:rsidP="001A070A">
      <w:pPr>
        <w:spacing w:after="120" w:line="360" w:lineRule="auto"/>
        <w:jc w:val="both"/>
        <w:rPr>
          <w:rFonts w:ascii="David" w:hAnsi="David" w:cs="David"/>
          <w:b/>
          <w:bCs/>
          <w:sz w:val="24"/>
          <w:szCs w:val="24"/>
          <w:rtl/>
        </w:rPr>
      </w:pPr>
      <w:r>
        <w:rPr>
          <w:rFonts w:ascii="David" w:hAnsi="David" w:cs="David" w:hint="cs"/>
          <w:b/>
          <w:bCs/>
          <w:sz w:val="24"/>
          <w:szCs w:val="24"/>
          <w:rtl/>
        </w:rPr>
        <w:t>הסעיפים שנלמדו היום:</w:t>
      </w:r>
    </w:p>
    <w:p w:rsidR="00822921" w:rsidRDefault="00822921" w:rsidP="00822921">
      <w:pPr>
        <w:spacing w:after="120" w:line="360" w:lineRule="auto"/>
        <w:jc w:val="both"/>
        <w:rPr>
          <w:rFonts w:ascii="David" w:hAnsi="David" w:cs="David"/>
          <w:b/>
          <w:bCs/>
          <w:sz w:val="24"/>
          <w:szCs w:val="24"/>
          <w:rtl/>
        </w:rPr>
      </w:pPr>
      <w:r>
        <w:rPr>
          <w:rFonts w:ascii="David" w:hAnsi="David" w:cs="David" w:hint="cs"/>
          <w:b/>
          <w:bCs/>
          <w:sz w:val="24"/>
          <w:szCs w:val="24"/>
          <w:rtl/>
        </w:rPr>
        <w:t>תקנה 9ב(ג) לתקנות ני"ע(דו"חות תקופתיים ומידיים)</w:t>
      </w:r>
    </w:p>
    <w:p w:rsidR="00822921" w:rsidRDefault="00822921" w:rsidP="00822921">
      <w:pPr>
        <w:spacing w:after="120" w:line="360" w:lineRule="auto"/>
        <w:jc w:val="both"/>
        <w:rPr>
          <w:rFonts w:ascii="David" w:hAnsi="David" w:cs="David"/>
          <w:b/>
          <w:bCs/>
          <w:sz w:val="24"/>
          <w:szCs w:val="24"/>
          <w:rtl/>
        </w:rPr>
      </w:pPr>
      <w:r>
        <w:rPr>
          <w:rFonts w:ascii="David" w:hAnsi="David" w:cs="David" w:hint="cs"/>
          <w:b/>
          <w:bCs/>
          <w:sz w:val="24"/>
          <w:szCs w:val="24"/>
          <w:rtl/>
        </w:rPr>
        <w:t xml:space="preserve">נייר עמדה 199-9 </w:t>
      </w:r>
    </w:p>
    <w:p w:rsidR="009733BF" w:rsidRDefault="001A070A" w:rsidP="00871B1A">
      <w:pPr>
        <w:spacing w:after="120" w:line="360" w:lineRule="auto"/>
        <w:jc w:val="both"/>
        <w:rPr>
          <w:rFonts w:ascii="David" w:hAnsi="David" w:cs="David"/>
          <w:b/>
          <w:bCs/>
          <w:sz w:val="24"/>
          <w:szCs w:val="24"/>
          <w:rtl/>
        </w:rPr>
      </w:pPr>
      <w:r>
        <w:rPr>
          <w:rFonts w:ascii="David" w:hAnsi="David" w:cs="David" w:hint="cs"/>
          <w:b/>
          <w:bCs/>
          <w:sz w:val="24"/>
          <w:szCs w:val="24"/>
          <w:rtl/>
        </w:rPr>
        <w:t>ת"</w:t>
      </w:r>
      <w:r w:rsidR="00822921">
        <w:rPr>
          <w:rFonts w:ascii="David" w:hAnsi="David" w:cs="David" w:hint="cs"/>
          <w:b/>
          <w:bCs/>
          <w:sz w:val="24"/>
          <w:szCs w:val="24"/>
          <w:rtl/>
        </w:rPr>
        <w:t xml:space="preserve">ב 104: סעיף 11 , 12 </w:t>
      </w:r>
      <w:r>
        <w:rPr>
          <w:rFonts w:ascii="David" w:hAnsi="David" w:cs="David" w:hint="cs"/>
          <w:b/>
          <w:bCs/>
          <w:sz w:val="24"/>
          <w:szCs w:val="24"/>
          <w:rtl/>
        </w:rPr>
        <w:t xml:space="preserve"> </w:t>
      </w:r>
      <w:r w:rsidR="00763CBA">
        <w:rPr>
          <w:rFonts w:ascii="David" w:hAnsi="David" w:cs="David" w:hint="cs"/>
          <w:b/>
          <w:bCs/>
          <w:sz w:val="24"/>
          <w:szCs w:val="24"/>
          <w:rtl/>
        </w:rPr>
        <w:t>, 23</w:t>
      </w:r>
      <w:r w:rsidR="00871B1A">
        <w:rPr>
          <w:rFonts w:ascii="David" w:hAnsi="David" w:cs="David" w:hint="cs"/>
          <w:b/>
          <w:bCs/>
          <w:sz w:val="24"/>
          <w:szCs w:val="24"/>
          <w:rtl/>
        </w:rPr>
        <w:t xml:space="preserve"> , </w:t>
      </w:r>
      <w:r w:rsidR="009733BF">
        <w:rPr>
          <w:rFonts w:ascii="David" w:hAnsi="David" w:cs="David" w:hint="cs"/>
          <w:b/>
          <w:bCs/>
          <w:sz w:val="24"/>
          <w:szCs w:val="24"/>
          <w:rtl/>
        </w:rPr>
        <w:t xml:space="preserve">נספח ד' ניסוח הימנעות </w:t>
      </w:r>
    </w:p>
    <w:p w:rsidR="006B6C0C" w:rsidRDefault="006B6C0C" w:rsidP="00871B1A">
      <w:pPr>
        <w:spacing w:after="120" w:line="360" w:lineRule="auto"/>
        <w:jc w:val="both"/>
        <w:rPr>
          <w:rFonts w:ascii="David" w:hAnsi="David" w:cs="David"/>
          <w:b/>
          <w:bCs/>
          <w:sz w:val="24"/>
          <w:szCs w:val="24"/>
          <w:rtl/>
        </w:rPr>
      </w:pPr>
      <w:r>
        <w:rPr>
          <w:rFonts w:ascii="David" w:hAnsi="David" w:cs="David" w:hint="cs"/>
          <w:b/>
          <w:bCs/>
          <w:sz w:val="24"/>
          <w:szCs w:val="24"/>
          <w:rtl/>
        </w:rPr>
        <w:t>ת"ב 72 : סעיף 13</w:t>
      </w:r>
      <w:bookmarkStart w:id="0" w:name="_GoBack"/>
      <w:bookmarkEnd w:id="0"/>
    </w:p>
    <w:p w:rsidR="001A070A" w:rsidRPr="00822921" w:rsidRDefault="00822921" w:rsidP="00822921">
      <w:pPr>
        <w:spacing w:after="120" w:line="360" w:lineRule="auto"/>
        <w:jc w:val="center"/>
        <w:rPr>
          <w:rFonts w:ascii="David" w:hAnsi="David" w:cs="David"/>
          <w:b/>
          <w:bCs/>
          <w:sz w:val="24"/>
          <w:szCs w:val="24"/>
          <w:u w:val="single"/>
          <w:rtl/>
        </w:rPr>
      </w:pPr>
      <w:r w:rsidRPr="00822921">
        <w:rPr>
          <w:rFonts w:ascii="David" w:hAnsi="David" w:cs="David" w:hint="cs"/>
          <w:b/>
          <w:bCs/>
          <w:sz w:val="24"/>
          <w:szCs w:val="24"/>
          <w:highlight w:val="yellow"/>
          <w:u w:val="single"/>
          <w:rtl/>
        </w:rPr>
        <w:t>לשיעור הבא יש להביא את חוברת תרגול בנושא ביקורת רכיבי בקרה פנימית מצורף באתר שיעור 13, לקרוא את עמודים 14, 35, 11, 21-22, 30 .</w:t>
      </w:r>
    </w:p>
    <w:p w:rsidR="00766A82" w:rsidRPr="00766A82" w:rsidRDefault="00766A82" w:rsidP="00766A82">
      <w:pPr>
        <w:spacing w:after="120" w:line="360" w:lineRule="auto"/>
        <w:jc w:val="center"/>
        <w:rPr>
          <w:rFonts w:ascii="David" w:hAnsi="David" w:cs="David"/>
          <w:b/>
          <w:bCs/>
          <w:sz w:val="28"/>
          <w:szCs w:val="28"/>
          <w:u w:val="single"/>
          <w:rtl/>
        </w:rPr>
      </w:pPr>
    </w:p>
    <w:sectPr w:rsidR="00766A82" w:rsidRPr="00766A82" w:rsidSect="00C804E6">
      <w:headerReference w:type="default" r:id="rId13"/>
      <w:footerReference w:type="default" r:id="rId14"/>
      <w:pgSz w:w="11906" w:h="16838"/>
      <w:pgMar w:top="1440" w:right="1800" w:bottom="1440" w:left="1800" w:header="709" w:footer="709" w:gutter="0"/>
      <w:pgNumType w:start="1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8E9" w:rsidRDefault="00AD18E9" w:rsidP="00F172F9">
      <w:pPr>
        <w:spacing w:after="0" w:line="240" w:lineRule="auto"/>
      </w:pPr>
      <w:r>
        <w:separator/>
      </w:r>
    </w:p>
  </w:endnote>
  <w:endnote w:type="continuationSeparator" w:id="0">
    <w:p w:rsidR="00AD18E9" w:rsidRDefault="00AD18E9"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5839705"/>
      <w:docPartObj>
        <w:docPartGallery w:val="Page Numbers (Bottom of Page)"/>
        <w:docPartUnique/>
      </w:docPartObj>
    </w:sdtPr>
    <w:sdtContent>
      <w:p w:rsidR="006B6C0C" w:rsidRDefault="006B6C0C">
        <w:pPr>
          <w:pStyle w:val="a5"/>
          <w:jc w:val="center"/>
          <w:rPr>
            <w:rtl/>
            <w:cs/>
          </w:rPr>
        </w:pPr>
        <w:r>
          <w:fldChar w:fldCharType="begin"/>
        </w:r>
        <w:r>
          <w:rPr>
            <w:rtl/>
            <w:cs/>
          </w:rPr>
          <w:instrText>PAGE   \* MERGEFORMAT</w:instrText>
        </w:r>
        <w:r>
          <w:fldChar w:fldCharType="separate"/>
        </w:r>
        <w:r w:rsidR="00203489" w:rsidRPr="00203489">
          <w:rPr>
            <w:noProof/>
            <w:rtl/>
            <w:lang w:val="he-IL"/>
          </w:rPr>
          <w:t>22</w:t>
        </w:r>
        <w:r>
          <w:fldChar w:fldCharType="end"/>
        </w:r>
      </w:p>
    </w:sdtContent>
  </w:sdt>
  <w:p w:rsidR="006B6C0C" w:rsidRDefault="006B6C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8E9" w:rsidRDefault="00AD18E9" w:rsidP="00F172F9">
      <w:pPr>
        <w:spacing w:after="0" w:line="240" w:lineRule="auto"/>
      </w:pPr>
      <w:r>
        <w:separator/>
      </w:r>
    </w:p>
  </w:footnote>
  <w:footnote w:type="continuationSeparator" w:id="0">
    <w:p w:rsidR="00AD18E9" w:rsidRDefault="00AD18E9"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C0C" w:rsidRPr="00E23F29" w:rsidRDefault="006B6C0C" w:rsidP="00E23F29">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23/11/14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2D26"/>
    <w:multiLevelType w:val="hybridMultilevel"/>
    <w:tmpl w:val="06983FDC"/>
    <w:lvl w:ilvl="0" w:tplc="65EA2330">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D14714"/>
    <w:multiLevelType w:val="hybridMultilevel"/>
    <w:tmpl w:val="789EEB36"/>
    <w:lvl w:ilvl="0" w:tplc="999A30D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E6B2E"/>
    <w:multiLevelType w:val="hybridMultilevel"/>
    <w:tmpl w:val="ACF4A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E63CB"/>
    <w:multiLevelType w:val="hybridMultilevel"/>
    <w:tmpl w:val="255EE3FA"/>
    <w:lvl w:ilvl="0" w:tplc="1F94C24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3372DD"/>
    <w:multiLevelType w:val="hybridMultilevel"/>
    <w:tmpl w:val="B6B831C4"/>
    <w:lvl w:ilvl="0" w:tplc="7B5C18A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2B629E"/>
    <w:multiLevelType w:val="hybridMultilevel"/>
    <w:tmpl w:val="142C2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65730"/>
    <w:multiLevelType w:val="hybridMultilevel"/>
    <w:tmpl w:val="D36A1540"/>
    <w:lvl w:ilvl="0" w:tplc="64C658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DE0B77"/>
    <w:multiLevelType w:val="hybridMultilevel"/>
    <w:tmpl w:val="348C69AE"/>
    <w:lvl w:ilvl="0" w:tplc="C128BF6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B30F1"/>
    <w:multiLevelType w:val="hybridMultilevel"/>
    <w:tmpl w:val="91748F9E"/>
    <w:lvl w:ilvl="0" w:tplc="F222C61E">
      <w:start w:val="10"/>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A791011"/>
    <w:multiLevelType w:val="hybridMultilevel"/>
    <w:tmpl w:val="BF000D52"/>
    <w:lvl w:ilvl="0" w:tplc="5A9CA4A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9B3D34"/>
    <w:multiLevelType w:val="hybridMultilevel"/>
    <w:tmpl w:val="D4F8C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42212C"/>
    <w:multiLevelType w:val="hybridMultilevel"/>
    <w:tmpl w:val="5C409C06"/>
    <w:lvl w:ilvl="0" w:tplc="0E3A1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E36092"/>
    <w:multiLevelType w:val="hybridMultilevel"/>
    <w:tmpl w:val="2124CEF0"/>
    <w:lvl w:ilvl="0" w:tplc="46905CB8">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8E29CE"/>
    <w:multiLevelType w:val="hybridMultilevel"/>
    <w:tmpl w:val="0F5CA72A"/>
    <w:lvl w:ilvl="0" w:tplc="68C0106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787E3E"/>
    <w:multiLevelType w:val="hybridMultilevel"/>
    <w:tmpl w:val="75107AD8"/>
    <w:lvl w:ilvl="0" w:tplc="21E8401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C61F1E"/>
    <w:multiLevelType w:val="hybridMultilevel"/>
    <w:tmpl w:val="EE26CD0A"/>
    <w:lvl w:ilvl="0" w:tplc="93EEBEB8">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E86931"/>
    <w:multiLevelType w:val="hybridMultilevel"/>
    <w:tmpl w:val="B16CFE4E"/>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CD1B31"/>
    <w:multiLevelType w:val="hybridMultilevel"/>
    <w:tmpl w:val="A306C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367B30"/>
    <w:multiLevelType w:val="hybridMultilevel"/>
    <w:tmpl w:val="C910F7B0"/>
    <w:lvl w:ilvl="0" w:tplc="0E3A12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24115BF"/>
    <w:multiLevelType w:val="hybridMultilevel"/>
    <w:tmpl w:val="DF903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0265F0"/>
    <w:multiLevelType w:val="hybridMultilevel"/>
    <w:tmpl w:val="3410B09C"/>
    <w:lvl w:ilvl="0" w:tplc="28E89CA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AA6E2E"/>
    <w:multiLevelType w:val="hybridMultilevel"/>
    <w:tmpl w:val="DBC6C37E"/>
    <w:lvl w:ilvl="0" w:tplc="0E3A12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C91F1A"/>
    <w:multiLevelType w:val="hybridMultilevel"/>
    <w:tmpl w:val="AB2C460A"/>
    <w:lvl w:ilvl="0" w:tplc="0E3A1214">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084C4D"/>
    <w:multiLevelType w:val="hybridMultilevel"/>
    <w:tmpl w:val="0A640A1E"/>
    <w:lvl w:ilvl="0" w:tplc="28A24358">
      <w:start w:val="1"/>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4D2641F"/>
    <w:multiLevelType w:val="hybridMultilevel"/>
    <w:tmpl w:val="45E60B7C"/>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0F0CE7"/>
    <w:multiLevelType w:val="hybridMultilevel"/>
    <w:tmpl w:val="7FC8A4E2"/>
    <w:lvl w:ilvl="0" w:tplc="1A92BED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1F79CD"/>
    <w:multiLevelType w:val="hybridMultilevel"/>
    <w:tmpl w:val="09AC8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E10DB5"/>
    <w:multiLevelType w:val="hybridMultilevel"/>
    <w:tmpl w:val="C33A0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16"/>
  </w:num>
  <w:num w:numId="4">
    <w:abstractNumId w:val="5"/>
  </w:num>
  <w:num w:numId="5">
    <w:abstractNumId w:val="24"/>
  </w:num>
  <w:num w:numId="6">
    <w:abstractNumId w:val="2"/>
  </w:num>
  <w:num w:numId="7">
    <w:abstractNumId w:val="9"/>
  </w:num>
  <w:num w:numId="8">
    <w:abstractNumId w:val="15"/>
  </w:num>
  <w:num w:numId="9">
    <w:abstractNumId w:val="27"/>
  </w:num>
  <w:num w:numId="10">
    <w:abstractNumId w:val="6"/>
  </w:num>
  <w:num w:numId="11">
    <w:abstractNumId w:val="25"/>
  </w:num>
  <w:num w:numId="12">
    <w:abstractNumId w:val="13"/>
  </w:num>
  <w:num w:numId="13">
    <w:abstractNumId w:val="17"/>
  </w:num>
  <w:num w:numId="14">
    <w:abstractNumId w:val="3"/>
  </w:num>
  <w:num w:numId="15">
    <w:abstractNumId w:val="23"/>
  </w:num>
  <w:num w:numId="16">
    <w:abstractNumId w:val="0"/>
  </w:num>
  <w:num w:numId="17">
    <w:abstractNumId w:val="18"/>
  </w:num>
  <w:num w:numId="18">
    <w:abstractNumId w:val="10"/>
  </w:num>
  <w:num w:numId="19">
    <w:abstractNumId w:val="8"/>
  </w:num>
  <w:num w:numId="20">
    <w:abstractNumId w:val="26"/>
  </w:num>
  <w:num w:numId="21">
    <w:abstractNumId w:val="14"/>
  </w:num>
  <w:num w:numId="22">
    <w:abstractNumId w:val="4"/>
  </w:num>
  <w:num w:numId="23">
    <w:abstractNumId w:val="1"/>
  </w:num>
  <w:num w:numId="24">
    <w:abstractNumId w:val="7"/>
  </w:num>
  <w:num w:numId="25">
    <w:abstractNumId w:val="20"/>
  </w:num>
  <w:num w:numId="26">
    <w:abstractNumId w:val="22"/>
  </w:num>
  <w:num w:numId="27">
    <w:abstractNumId w:val="21"/>
  </w:num>
  <w:num w:numId="2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0118"/>
    <w:rsid w:val="00004320"/>
    <w:rsid w:val="00005C1A"/>
    <w:rsid w:val="00016E3D"/>
    <w:rsid w:val="0001703A"/>
    <w:rsid w:val="0001759B"/>
    <w:rsid w:val="000209F9"/>
    <w:rsid w:val="0002110F"/>
    <w:rsid w:val="000225B3"/>
    <w:rsid w:val="000272A4"/>
    <w:rsid w:val="00031967"/>
    <w:rsid w:val="000327A7"/>
    <w:rsid w:val="0003559A"/>
    <w:rsid w:val="000363BD"/>
    <w:rsid w:val="0004273E"/>
    <w:rsid w:val="0004387F"/>
    <w:rsid w:val="000440FC"/>
    <w:rsid w:val="00050C03"/>
    <w:rsid w:val="00053367"/>
    <w:rsid w:val="000575B5"/>
    <w:rsid w:val="00057726"/>
    <w:rsid w:val="00061ECA"/>
    <w:rsid w:val="0006680A"/>
    <w:rsid w:val="000711EB"/>
    <w:rsid w:val="0008007B"/>
    <w:rsid w:val="000814D8"/>
    <w:rsid w:val="00084500"/>
    <w:rsid w:val="00085F48"/>
    <w:rsid w:val="000873BF"/>
    <w:rsid w:val="00087407"/>
    <w:rsid w:val="000945A1"/>
    <w:rsid w:val="00094D10"/>
    <w:rsid w:val="000977C3"/>
    <w:rsid w:val="00097936"/>
    <w:rsid w:val="000A25BC"/>
    <w:rsid w:val="000A46FC"/>
    <w:rsid w:val="000A63A1"/>
    <w:rsid w:val="000A770A"/>
    <w:rsid w:val="000B2B86"/>
    <w:rsid w:val="000B514B"/>
    <w:rsid w:val="000B7066"/>
    <w:rsid w:val="000C04AC"/>
    <w:rsid w:val="000D107A"/>
    <w:rsid w:val="000D2AA6"/>
    <w:rsid w:val="000D3802"/>
    <w:rsid w:val="000D3873"/>
    <w:rsid w:val="000D3CF8"/>
    <w:rsid w:val="000D4AA1"/>
    <w:rsid w:val="000D52B5"/>
    <w:rsid w:val="000D5807"/>
    <w:rsid w:val="000D5F52"/>
    <w:rsid w:val="000E0AF4"/>
    <w:rsid w:val="000E2D7F"/>
    <w:rsid w:val="000E426B"/>
    <w:rsid w:val="000E6DA5"/>
    <w:rsid w:val="000E6E51"/>
    <w:rsid w:val="000F02B2"/>
    <w:rsid w:val="000F5666"/>
    <w:rsid w:val="000F5E3D"/>
    <w:rsid w:val="000F6613"/>
    <w:rsid w:val="001040B2"/>
    <w:rsid w:val="00105D60"/>
    <w:rsid w:val="00107C72"/>
    <w:rsid w:val="00110107"/>
    <w:rsid w:val="00110853"/>
    <w:rsid w:val="001137CC"/>
    <w:rsid w:val="0011431E"/>
    <w:rsid w:val="00114504"/>
    <w:rsid w:val="00115DB8"/>
    <w:rsid w:val="00121874"/>
    <w:rsid w:val="00135FFF"/>
    <w:rsid w:val="001363D0"/>
    <w:rsid w:val="00137958"/>
    <w:rsid w:val="00137FEC"/>
    <w:rsid w:val="001416AE"/>
    <w:rsid w:val="00141C1F"/>
    <w:rsid w:val="001444A8"/>
    <w:rsid w:val="00147C17"/>
    <w:rsid w:val="001508CA"/>
    <w:rsid w:val="001528B5"/>
    <w:rsid w:val="0015329C"/>
    <w:rsid w:val="0015711F"/>
    <w:rsid w:val="00161B0D"/>
    <w:rsid w:val="00166003"/>
    <w:rsid w:val="0016713B"/>
    <w:rsid w:val="00167879"/>
    <w:rsid w:val="001732EE"/>
    <w:rsid w:val="00173BC6"/>
    <w:rsid w:val="00174761"/>
    <w:rsid w:val="00176487"/>
    <w:rsid w:val="00177F4F"/>
    <w:rsid w:val="0018067B"/>
    <w:rsid w:val="00183855"/>
    <w:rsid w:val="0018443E"/>
    <w:rsid w:val="001852FD"/>
    <w:rsid w:val="0018578B"/>
    <w:rsid w:val="00185DEE"/>
    <w:rsid w:val="001860CD"/>
    <w:rsid w:val="00193545"/>
    <w:rsid w:val="00194CB1"/>
    <w:rsid w:val="001A070A"/>
    <w:rsid w:val="001A1421"/>
    <w:rsid w:val="001A3F0D"/>
    <w:rsid w:val="001A662B"/>
    <w:rsid w:val="001B3612"/>
    <w:rsid w:val="001C2984"/>
    <w:rsid w:val="001C3AD7"/>
    <w:rsid w:val="001D03CD"/>
    <w:rsid w:val="001D107B"/>
    <w:rsid w:val="001D4E76"/>
    <w:rsid w:val="001D7530"/>
    <w:rsid w:val="001D7D22"/>
    <w:rsid w:val="001E51C5"/>
    <w:rsid w:val="001E6DAB"/>
    <w:rsid w:val="001F1958"/>
    <w:rsid w:val="001F380B"/>
    <w:rsid w:val="001F4704"/>
    <w:rsid w:val="001F512A"/>
    <w:rsid w:val="001F5930"/>
    <w:rsid w:val="001F63AD"/>
    <w:rsid w:val="00200A7C"/>
    <w:rsid w:val="00203489"/>
    <w:rsid w:val="002055EC"/>
    <w:rsid w:val="00207A4C"/>
    <w:rsid w:val="00211663"/>
    <w:rsid w:val="002135F4"/>
    <w:rsid w:val="002141B4"/>
    <w:rsid w:val="00214B39"/>
    <w:rsid w:val="00214B4C"/>
    <w:rsid w:val="002154C4"/>
    <w:rsid w:val="00215709"/>
    <w:rsid w:val="0021577E"/>
    <w:rsid w:val="00217A41"/>
    <w:rsid w:val="00223FDD"/>
    <w:rsid w:val="002247E6"/>
    <w:rsid w:val="00225BB1"/>
    <w:rsid w:val="00226E9D"/>
    <w:rsid w:val="0023579A"/>
    <w:rsid w:val="00253629"/>
    <w:rsid w:val="00254B85"/>
    <w:rsid w:val="002550BD"/>
    <w:rsid w:val="00255E31"/>
    <w:rsid w:val="00260506"/>
    <w:rsid w:val="00262578"/>
    <w:rsid w:val="00263D90"/>
    <w:rsid w:val="00265560"/>
    <w:rsid w:val="00272036"/>
    <w:rsid w:val="002725F8"/>
    <w:rsid w:val="00275C0E"/>
    <w:rsid w:val="002803FB"/>
    <w:rsid w:val="00280ECD"/>
    <w:rsid w:val="00281494"/>
    <w:rsid w:val="002853DF"/>
    <w:rsid w:val="00285AB4"/>
    <w:rsid w:val="00291E03"/>
    <w:rsid w:val="002952A5"/>
    <w:rsid w:val="002953E9"/>
    <w:rsid w:val="00295B6E"/>
    <w:rsid w:val="00295D0D"/>
    <w:rsid w:val="002A0F33"/>
    <w:rsid w:val="002A0FDB"/>
    <w:rsid w:val="002A392E"/>
    <w:rsid w:val="002A4347"/>
    <w:rsid w:val="002B66C9"/>
    <w:rsid w:val="002D2727"/>
    <w:rsid w:val="002D2CED"/>
    <w:rsid w:val="002D46F9"/>
    <w:rsid w:val="002D66F4"/>
    <w:rsid w:val="002E0EC1"/>
    <w:rsid w:val="002F063E"/>
    <w:rsid w:val="002F4A76"/>
    <w:rsid w:val="002F54FB"/>
    <w:rsid w:val="002F6681"/>
    <w:rsid w:val="002F7950"/>
    <w:rsid w:val="00300D14"/>
    <w:rsid w:val="00300FF6"/>
    <w:rsid w:val="003044F6"/>
    <w:rsid w:val="00305ADA"/>
    <w:rsid w:val="00305FDE"/>
    <w:rsid w:val="00307469"/>
    <w:rsid w:val="00314416"/>
    <w:rsid w:val="00315B10"/>
    <w:rsid w:val="00316565"/>
    <w:rsid w:val="003202F6"/>
    <w:rsid w:val="00325B00"/>
    <w:rsid w:val="00327436"/>
    <w:rsid w:val="003319C8"/>
    <w:rsid w:val="00333BCC"/>
    <w:rsid w:val="00336435"/>
    <w:rsid w:val="00341B81"/>
    <w:rsid w:val="00342F5F"/>
    <w:rsid w:val="00345AFA"/>
    <w:rsid w:val="00350B8B"/>
    <w:rsid w:val="0035529B"/>
    <w:rsid w:val="00357D7E"/>
    <w:rsid w:val="0036021A"/>
    <w:rsid w:val="0036592B"/>
    <w:rsid w:val="00370064"/>
    <w:rsid w:val="003701A4"/>
    <w:rsid w:val="003716B5"/>
    <w:rsid w:val="00371797"/>
    <w:rsid w:val="003741D3"/>
    <w:rsid w:val="00382C7C"/>
    <w:rsid w:val="003915B5"/>
    <w:rsid w:val="00395B92"/>
    <w:rsid w:val="003A2227"/>
    <w:rsid w:val="003A2C78"/>
    <w:rsid w:val="003A4E5D"/>
    <w:rsid w:val="003A63B4"/>
    <w:rsid w:val="003A6F66"/>
    <w:rsid w:val="003A718D"/>
    <w:rsid w:val="003B16E1"/>
    <w:rsid w:val="003B2FF2"/>
    <w:rsid w:val="003B62E4"/>
    <w:rsid w:val="003C064C"/>
    <w:rsid w:val="003C79BD"/>
    <w:rsid w:val="003C7FE8"/>
    <w:rsid w:val="003D29DC"/>
    <w:rsid w:val="003D3219"/>
    <w:rsid w:val="003D732C"/>
    <w:rsid w:val="003E1A1C"/>
    <w:rsid w:val="003E2164"/>
    <w:rsid w:val="003E36CF"/>
    <w:rsid w:val="003E4BBC"/>
    <w:rsid w:val="003E63AD"/>
    <w:rsid w:val="003E7BBC"/>
    <w:rsid w:val="003F00CA"/>
    <w:rsid w:val="003F2102"/>
    <w:rsid w:val="003F469C"/>
    <w:rsid w:val="00401692"/>
    <w:rsid w:val="004102EB"/>
    <w:rsid w:val="0041337A"/>
    <w:rsid w:val="00413C78"/>
    <w:rsid w:val="00415D40"/>
    <w:rsid w:val="00416CE1"/>
    <w:rsid w:val="004175CF"/>
    <w:rsid w:val="0042010A"/>
    <w:rsid w:val="00420243"/>
    <w:rsid w:val="0042027A"/>
    <w:rsid w:val="00424CDA"/>
    <w:rsid w:val="00424DA0"/>
    <w:rsid w:val="00431510"/>
    <w:rsid w:val="00433A05"/>
    <w:rsid w:val="0043674D"/>
    <w:rsid w:val="00436B58"/>
    <w:rsid w:val="00437909"/>
    <w:rsid w:val="00441C02"/>
    <w:rsid w:val="00442630"/>
    <w:rsid w:val="00442803"/>
    <w:rsid w:val="0044399C"/>
    <w:rsid w:val="00447CBD"/>
    <w:rsid w:val="00462212"/>
    <w:rsid w:val="00463EA7"/>
    <w:rsid w:val="0046566A"/>
    <w:rsid w:val="00466B2A"/>
    <w:rsid w:val="00466EC7"/>
    <w:rsid w:val="004713EA"/>
    <w:rsid w:val="0047196B"/>
    <w:rsid w:val="00471C40"/>
    <w:rsid w:val="00477285"/>
    <w:rsid w:val="004806C5"/>
    <w:rsid w:val="00493FA9"/>
    <w:rsid w:val="00494529"/>
    <w:rsid w:val="00497FDC"/>
    <w:rsid w:val="004A1D72"/>
    <w:rsid w:val="004A346A"/>
    <w:rsid w:val="004A5B34"/>
    <w:rsid w:val="004B022E"/>
    <w:rsid w:val="004B0A8D"/>
    <w:rsid w:val="004B5A83"/>
    <w:rsid w:val="004B6D28"/>
    <w:rsid w:val="004B76ED"/>
    <w:rsid w:val="004B7889"/>
    <w:rsid w:val="004C11EE"/>
    <w:rsid w:val="004C2504"/>
    <w:rsid w:val="004C777B"/>
    <w:rsid w:val="004C7ED3"/>
    <w:rsid w:val="004D1A4F"/>
    <w:rsid w:val="004D1E9C"/>
    <w:rsid w:val="004D4E54"/>
    <w:rsid w:val="004D518E"/>
    <w:rsid w:val="004D7AF2"/>
    <w:rsid w:val="004E0615"/>
    <w:rsid w:val="004E0C0E"/>
    <w:rsid w:val="004E1233"/>
    <w:rsid w:val="004E3D88"/>
    <w:rsid w:val="004E5A83"/>
    <w:rsid w:val="004E653C"/>
    <w:rsid w:val="004F029A"/>
    <w:rsid w:val="004F09DC"/>
    <w:rsid w:val="004F370E"/>
    <w:rsid w:val="004F6DE4"/>
    <w:rsid w:val="00503BF4"/>
    <w:rsid w:val="00504125"/>
    <w:rsid w:val="005053DB"/>
    <w:rsid w:val="00510E91"/>
    <w:rsid w:val="00515B02"/>
    <w:rsid w:val="0051619C"/>
    <w:rsid w:val="00524307"/>
    <w:rsid w:val="0052603B"/>
    <w:rsid w:val="00526E39"/>
    <w:rsid w:val="00530161"/>
    <w:rsid w:val="00533E1E"/>
    <w:rsid w:val="00541903"/>
    <w:rsid w:val="0054782C"/>
    <w:rsid w:val="00552BEB"/>
    <w:rsid w:val="00554E51"/>
    <w:rsid w:val="00557735"/>
    <w:rsid w:val="00562509"/>
    <w:rsid w:val="00566A13"/>
    <w:rsid w:val="00566A6B"/>
    <w:rsid w:val="005678FF"/>
    <w:rsid w:val="00572488"/>
    <w:rsid w:val="0057286C"/>
    <w:rsid w:val="00574249"/>
    <w:rsid w:val="00577188"/>
    <w:rsid w:val="00580899"/>
    <w:rsid w:val="005826F7"/>
    <w:rsid w:val="00582DA8"/>
    <w:rsid w:val="00583630"/>
    <w:rsid w:val="00584C6E"/>
    <w:rsid w:val="005933A2"/>
    <w:rsid w:val="00596278"/>
    <w:rsid w:val="005B1FE5"/>
    <w:rsid w:val="005B577C"/>
    <w:rsid w:val="005C1ABC"/>
    <w:rsid w:val="005C4CE4"/>
    <w:rsid w:val="005D259E"/>
    <w:rsid w:val="005E4059"/>
    <w:rsid w:val="005E51C0"/>
    <w:rsid w:val="005E6458"/>
    <w:rsid w:val="005E6D53"/>
    <w:rsid w:val="005F0A01"/>
    <w:rsid w:val="005F1F90"/>
    <w:rsid w:val="005F313D"/>
    <w:rsid w:val="005F415D"/>
    <w:rsid w:val="005F4BEC"/>
    <w:rsid w:val="005F66E4"/>
    <w:rsid w:val="005F7FCF"/>
    <w:rsid w:val="00604369"/>
    <w:rsid w:val="00604D40"/>
    <w:rsid w:val="00613AFB"/>
    <w:rsid w:val="006143FA"/>
    <w:rsid w:val="006154DB"/>
    <w:rsid w:val="00620413"/>
    <w:rsid w:val="006205B4"/>
    <w:rsid w:val="006211ED"/>
    <w:rsid w:val="006309A8"/>
    <w:rsid w:val="00630CED"/>
    <w:rsid w:val="0063134F"/>
    <w:rsid w:val="0063276A"/>
    <w:rsid w:val="00633286"/>
    <w:rsid w:val="0063481C"/>
    <w:rsid w:val="00635942"/>
    <w:rsid w:val="00637B33"/>
    <w:rsid w:val="00637C25"/>
    <w:rsid w:val="006408F6"/>
    <w:rsid w:val="006414F2"/>
    <w:rsid w:val="00645AD5"/>
    <w:rsid w:val="006462A4"/>
    <w:rsid w:val="00647875"/>
    <w:rsid w:val="00650475"/>
    <w:rsid w:val="00651714"/>
    <w:rsid w:val="006541D4"/>
    <w:rsid w:val="00655327"/>
    <w:rsid w:val="0065582D"/>
    <w:rsid w:val="006575E9"/>
    <w:rsid w:val="00657D23"/>
    <w:rsid w:val="00661B5C"/>
    <w:rsid w:val="00662129"/>
    <w:rsid w:val="0066383E"/>
    <w:rsid w:val="00664175"/>
    <w:rsid w:val="00664FBA"/>
    <w:rsid w:val="0066650A"/>
    <w:rsid w:val="006669D6"/>
    <w:rsid w:val="00670758"/>
    <w:rsid w:val="00673740"/>
    <w:rsid w:val="00674F62"/>
    <w:rsid w:val="006906C4"/>
    <w:rsid w:val="00692F37"/>
    <w:rsid w:val="00694215"/>
    <w:rsid w:val="006967CE"/>
    <w:rsid w:val="006A05A8"/>
    <w:rsid w:val="006A0681"/>
    <w:rsid w:val="006A0950"/>
    <w:rsid w:val="006A12B0"/>
    <w:rsid w:val="006A1D2A"/>
    <w:rsid w:val="006A1EB0"/>
    <w:rsid w:val="006A3505"/>
    <w:rsid w:val="006A3AE9"/>
    <w:rsid w:val="006A3FF9"/>
    <w:rsid w:val="006A40CD"/>
    <w:rsid w:val="006A45C1"/>
    <w:rsid w:val="006B02B0"/>
    <w:rsid w:val="006B4743"/>
    <w:rsid w:val="006B6C0C"/>
    <w:rsid w:val="006C64D2"/>
    <w:rsid w:val="006C7FC0"/>
    <w:rsid w:val="006D000F"/>
    <w:rsid w:val="006D10AD"/>
    <w:rsid w:val="006D24A4"/>
    <w:rsid w:val="006D2F7B"/>
    <w:rsid w:val="006D4974"/>
    <w:rsid w:val="006D6D3C"/>
    <w:rsid w:val="006E0263"/>
    <w:rsid w:val="006E05F7"/>
    <w:rsid w:val="006E1460"/>
    <w:rsid w:val="006E62E1"/>
    <w:rsid w:val="006E6C2E"/>
    <w:rsid w:val="006F2E48"/>
    <w:rsid w:val="006F566C"/>
    <w:rsid w:val="006F5E4B"/>
    <w:rsid w:val="00701984"/>
    <w:rsid w:val="00702A1C"/>
    <w:rsid w:val="007031ED"/>
    <w:rsid w:val="00703C4E"/>
    <w:rsid w:val="00705FCC"/>
    <w:rsid w:val="007104EA"/>
    <w:rsid w:val="0071286F"/>
    <w:rsid w:val="007128A3"/>
    <w:rsid w:val="00716E17"/>
    <w:rsid w:val="007179EC"/>
    <w:rsid w:val="00722CDB"/>
    <w:rsid w:val="00725398"/>
    <w:rsid w:val="00725A43"/>
    <w:rsid w:val="00727A8C"/>
    <w:rsid w:val="00730C72"/>
    <w:rsid w:val="0073208E"/>
    <w:rsid w:val="00734453"/>
    <w:rsid w:val="007349A9"/>
    <w:rsid w:val="00734D1C"/>
    <w:rsid w:val="00734FDE"/>
    <w:rsid w:val="00736FB8"/>
    <w:rsid w:val="007403EE"/>
    <w:rsid w:val="00742F64"/>
    <w:rsid w:val="00746717"/>
    <w:rsid w:val="007512BE"/>
    <w:rsid w:val="00751C63"/>
    <w:rsid w:val="00752265"/>
    <w:rsid w:val="0075372C"/>
    <w:rsid w:val="0075442B"/>
    <w:rsid w:val="0075513E"/>
    <w:rsid w:val="00755965"/>
    <w:rsid w:val="00763CBA"/>
    <w:rsid w:val="00764CCD"/>
    <w:rsid w:val="00766615"/>
    <w:rsid w:val="00766A82"/>
    <w:rsid w:val="00770639"/>
    <w:rsid w:val="007725A9"/>
    <w:rsid w:val="00774DA9"/>
    <w:rsid w:val="00777AB5"/>
    <w:rsid w:val="00777F80"/>
    <w:rsid w:val="0078049F"/>
    <w:rsid w:val="00785C24"/>
    <w:rsid w:val="0079174D"/>
    <w:rsid w:val="00793535"/>
    <w:rsid w:val="007940A3"/>
    <w:rsid w:val="00794EBF"/>
    <w:rsid w:val="00795370"/>
    <w:rsid w:val="007967A1"/>
    <w:rsid w:val="007A246B"/>
    <w:rsid w:val="007A4D1D"/>
    <w:rsid w:val="007B1424"/>
    <w:rsid w:val="007B145D"/>
    <w:rsid w:val="007B1BA8"/>
    <w:rsid w:val="007B3BF4"/>
    <w:rsid w:val="007B3F6B"/>
    <w:rsid w:val="007B5257"/>
    <w:rsid w:val="007B58B3"/>
    <w:rsid w:val="007D0544"/>
    <w:rsid w:val="007D5275"/>
    <w:rsid w:val="007E237D"/>
    <w:rsid w:val="007E4DE2"/>
    <w:rsid w:val="007E7260"/>
    <w:rsid w:val="007E7374"/>
    <w:rsid w:val="007F38F3"/>
    <w:rsid w:val="007F50BB"/>
    <w:rsid w:val="007F6EE3"/>
    <w:rsid w:val="007F7F49"/>
    <w:rsid w:val="0080422A"/>
    <w:rsid w:val="00805C1A"/>
    <w:rsid w:val="00810D73"/>
    <w:rsid w:val="008175F2"/>
    <w:rsid w:val="00820EF7"/>
    <w:rsid w:val="00822600"/>
    <w:rsid w:val="00822921"/>
    <w:rsid w:val="008242CE"/>
    <w:rsid w:val="0082701A"/>
    <w:rsid w:val="00830816"/>
    <w:rsid w:val="00830D3B"/>
    <w:rsid w:val="0083136E"/>
    <w:rsid w:val="00831DCE"/>
    <w:rsid w:val="0083427B"/>
    <w:rsid w:val="00834C62"/>
    <w:rsid w:val="00834E3D"/>
    <w:rsid w:val="008354EF"/>
    <w:rsid w:val="00835ECC"/>
    <w:rsid w:val="0084000E"/>
    <w:rsid w:val="00841C0A"/>
    <w:rsid w:val="00845E59"/>
    <w:rsid w:val="0085052F"/>
    <w:rsid w:val="0085292F"/>
    <w:rsid w:val="00855B3E"/>
    <w:rsid w:val="0085681E"/>
    <w:rsid w:val="00861741"/>
    <w:rsid w:val="00861F4F"/>
    <w:rsid w:val="0086242E"/>
    <w:rsid w:val="008630BF"/>
    <w:rsid w:val="008636F5"/>
    <w:rsid w:val="00865056"/>
    <w:rsid w:val="008702E1"/>
    <w:rsid w:val="00871955"/>
    <w:rsid w:val="00871B1A"/>
    <w:rsid w:val="00873819"/>
    <w:rsid w:val="00873D60"/>
    <w:rsid w:val="00876737"/>
    <w:rsid w:val="00877342"/>
    <w:rsid w:val="008777C7"/>
    <w:rsid w:val="0088110F"/>
    <w:rsid w:val="00881DF0"/>
    <w:rsid w:val="0088255C"/>
    <w:rsid w:val="008829D1"/>
    <w:rsid w:val="00891549"/>
    <w:rsid w:val="00892E3F"/>
    <w:rsid w:val="00894C5A"/>
    <w:rsid w:val="00897C33"/>
    <w:rsid w:val="008A174B"/>
    <w:rsid w:val="008A394D"/>
    <w:rsid w:val="008B0267"/>
    <w:rsid w:val="008B225B"/>
    <w:rsid w:val="008B41D6"/>
    <w:rsid w:val="008B503E"/>
    <w:rsid w:val="008B63A7"/>
    <w:rsid w:val="008C369A"/>
    <w:rsid w:val="008C6674"/>
    <w:rsid w:val="008D0A2D"/>
    <w:rsid w:val="008D37A6"/>
    <w:rsid w:val="008D7CCC"/>
    <w:rsid w:val="008E0781"/>
    <w:rsid w:val="008F088E"/>
    <w:rsid w:val="00900F39"/>
    <w:rsid w:val="00914EA8"/>
    <w:rsid w:val="00917987"/>
    <w:rsid w:val="00922341"/>
    <w:rsid w:val="00922CC5"/>
    <w:rsid w:val="009244A5"/>
    <w:rsid w:val="00925E2A"/>
    <w:rsid w:val="00932564"/>
    <w:rsid w:val="00933381"/>
    <w:rsid w:val="0093434B"/>
    <w:rsid w:val="0093555C"/>
    <w:rsid w:val="009367D1"/>
    <w:rsid w:val="00936F14"/>
    <w:rsid w:val="00937322"/>
    <w:rsid w:val="00941A7C"/>
    <w:rsid w:val="00942643"/>
    <w:rsid w:val="009432DD"/>
    <w:rsid w:val="00943B2C"/>
    <w:rsid w:val="00944800"/>
    <w:rsid w:val="00951166"/>
    <w:rsid w:val="00953E39"/>
    <w:rsid w:val="00953E43"/>
    <w:rsid w:val="00955AE4"/>
    <w:rsid w:val="00955DB4"/>
    <w:rsid w:val="00960595"/>
    <w:rsid w:val="0096313F"/>
    <w:rsid w:val="00965B5B"/>
    <w:rsid w:val="0096753C"/>
    <w:rsid w:val="009733BF"/>
    <w:rsid w:val="0097394E"/>
    <w:rsid w:val="00974906"/>
    <w:rsid w:val="00974AC5"/>
    <w:rsid w:val="009760AB"/>
    <w:rsid w:val="009779EE"/>
    <w:rsid w:val="00977C3F"/>
    <w:rsid w:val="009801FF"/>
    <w:rsid w:val="00982546"/>
    <w:rsid w:val="00984DD0"/>
    <w:rsid w:val="0098583F"/>
    <w:rsid w:val="00986492"/>
    <w:rsid w:val="00987C72"/>
    <w:rsid w:val="00992EC6"/>
    <w:rsid w:val="009A22BC"/>
    <w:rsid w:val="009B0522"/>
    <w:rsid w:val="009B34D2"/>
    <w:rsid w:val="009B67A1"/>
    <w:rsid w:val="009C28F8"/>
    <w:rsid w:val="009C7D73"/>
    <w:rsid w:val="009D043D"/>
    <w:rsid w:val="009D0B64"/>
    <w:rsid w:val="009D0BCC"/>
    <w:rsid w:val="009D5054"/>
    <w:rsid w:val="009D5289"/>
    <w:rsid w:val="009E2DB4"/>
    <w:rsid w:val="009E32CB"/>
    <w:rsid w:val="009E57F5"/>
    <w:rsid w:val="009E68B4"/>
    <w:rsid w:val="009F212B"/>
    <w:rsid w:val="009F6054"/>
    <w:rsid w:val="00A019EF"/>
    <w:rsid w:val="00A02526"/>
    <w:rsid w:val="00A0488D"/>
    <w:rsid w:val="00A05321"/>
    <w:rsid w:val="00A06019"/>
    <w:rsid w:val="00A07A62"/>
    <w:rsid w:val="00A161D4"/>
    <w:rsid w:val="00A23D53"/>
    <w:rsid w:val="00A27897"/>
    <w:rsid w:val="00A314CB"/>
    <w:rsid w:val="00A315CD"/>
    <w:rsid w:val="00A34F4A"/>
    <w:rsid w:val="00A417AA"/>
    <w:rsid w:val="00A41A60"/>
    <w:rsid w:val="00A42940"/>
    <w:rsid w:val="00A42EBC"/>
    <w:rsid w:val="00A46DCF"/>
    <w:rsid w:val="00A50045"/>
    <w:rsid w:val="00A506FE"/>
    <w:rsid w:val="00A563BE"/>
    <w:rsid w:val="00A576C9"/>
    <w:rsid w:val="00A579C9"/>
    <w:rsid w:val="00A6400C"/>
    <w:rsid w:val="00A64025"/>
    <w:rsid w:val="00A66278"/>
    <w:rsid w:val="00A674A8"/>
    <w:rsid w:val="00A678FB"/>
    <w:rsid w:val="00A70CB8"/>
    <w:rsid w:val="00A73040"/>
    <w:rsid w:val="00A741B7"/>
    <w:rsid w:val="00A76387"/>
    <w:rsid w:val="00A81C12"/>
    <w:rsid w:val="00A8327A"/>
    <w:rsid w:val="00A844E8"/>
    <w:rsid w:val="00A850E6"/>
    <w:rsid w:val="00A85BE9"/>
    <w:rsid w:val="00A8701A"/>
    <w:rsid w:val="00A87E34"/>
    <w:rsid w:val="00A91570"/>
    <w:rsid w:val="00A96198"/>
    <w:rsid w:val="00AA28A4"/>
    <w:rsid w:val="00AA3BAD"/>
    <w:rsid w:val="00AA493D"/>
    <w:rsid w:val="00AA7244"/>
    <w:rsid w:val="00AB27BF"/>
    <w:rsid w:val="00AB3723"/>
    <w:rsid w:val="00AB4C0D"/>
    <w:rsid w:val="00AB6212"/>
    <w:rsid w:val="00AC09BC"/>
    <w:rsid w:val="00AC3F9D"/>
    <w:rsid w:val="00AC521D"/>
    <w:rsid w:val="00AC6AD6"/>
    <w:rsid w:val="00AD18E9"/>
    <w:rsid w:val="00AD1C2B"/>
    <w:rsid w:val="00AD3E28"/>
    <w:rsid w:val="00AD68B9"/>
    <w:rsid w:val="00AE0D66"/>
    <w:rsid w:val="00AF0229"/>
    <w:rsid w:val="00AF06EE"/>
    <w:rsid w:val="00AF37D1"/>
    <w:rsid w:val="00AF39C7"/>
    <w:rsid w:val="00AF3C20"/>
    <w:rsid w:val="00AF6A57"/>
    <w:rsid w:val="00AF7BBF"/>
    <w:rsid w:val="00B011D3"/>
    <w:rsid w:val="00B01240"/>
    <w:rsid w:val="00B03BF4"/>
    <w:rsid w:val="00B052CF"/>
    <w:rsid w:val="00B057EF"/>
    <w:rsid w:val="00B0661C"/>
    <w:rsid w:val="00B06FAA"/>
    <w:rsid w:val="00B07C2D"/>
    <w:rsid w:val="00B07E14"/>
    <w:rsid w:val="00B10B8D"/>
    <w:rsid w:val="00B11A99"/>
    <w:rsid w:val="00B13CEB"/>
    <w:rsid w:val="00B15894"/>
    <w:rsid w:val="00B2055A"/>
    <w:rsid w:val="00B222C5"/>
    <w:rsid w:val="00B2554F"/>
    <w:rsid w:val="00B30CB4"/>
    <w:rsid w:val="00B314B4"/>
    <w:rsid w:val="00B31679"/>
    <w:rsid w:val="00B3167D"/>
    <w:rsid w:val="00B35C12"/>
    <w:rsid w:val="00B41FD3"/>
    <w:rsid w:val="00B43EB3"/>
    <w:rsid w:val="00B43FCE"/>
    <w:rsid w:val="00B44E7B"/>
    <w:rsid w:val="00B47E25"/>
    <w:rsid w:val="00B505BD"/>
    <w:rsid w:val="00B510FF"/>
    <w:rsid w:val="00B5242F"/>
    <w:rsid w:val="00B52C2E"/>
    <w:rsid w:val="00B549A4"/>
    <w:rsid w:val="00B56604"/>
    <w:rsid w:val="00B6009C"/>
    <w:rsid w:val="00B65E1E"/>
    <w:rsid w:val="00B660F4"/>
    <w:rsid w:val="00B70922"/>
    <w:rsid w:val="00B728AF"/>
    <w:rsid w:val="00B83FF0"/>
    <w:rsid w:val="00B84DB9"/>
    <w:rsid w:val="00B85423"/>
    <w:rsid w:val="00B870F4"/>
    <w:rsid w:val="00B91B0D"/>
    <w:rsid w:val="00B92EAE"/>
    <w:rsid w:val="00B94C98"/>
    <w:rsid w:val="00B94E45"/>
    <w:rsid w:val="00BA005A"/>
    <w:rsid w:val="00BA085D"/>
    <w:rsid w:val="00BA2461"/>
    <w:rsid w:val="00BA26F6"/>
    <w:rsid w:val="00BA54A5"/>
    <w:rsid w:val="00BA6F9D"/>
    <w:rsid w:val="00BB1679"/>
    <w:rsid w:val="00BB5DC0"/>
    <w:rsid w:val="00BB6FB6"/>
    <w:rsid w:val="00BC1DC0"/>
    <w:rsid w:val="00BC4C49"/>
    <w:rsid w:val="00BD1918"/>
    <w:rsid w:val="00BD6DCF"/>
    <w:rsid w:val="00BE4136"/>
    <w:rsid w:val="00BE4178"/>
    <w:rsid w:val="00BF10CD"/>
    <w:rsid w:val="00BF4881"/>
    <w:rsid w:val="00BF4ED6"/>
    <w:rsid w:val="00BF5223"/>
    <w:rsid w:val="00BF5317"/>
    <w:rsid w:val="00BF669B"/>
    <w:rsid w:val="00C03F8C"/>
    <w:rsid w:val="00C079BD"/>
    <w:rsid w:val="00C10635"/>
    <w:rsid w:val="00C10F2D"/>
    <w:rsid w:val="00C13690"/>
    <w:rsid w:val="00C161B9"/>
    <w:rsid w:val="00C20CBA"/>
    <w:rsid w:val="00C232F9"/>
    <w:rsid w:val="00C23465"/>
    <w:rsid w:val="00C243AD"/>
    <w:rsid w:val="00C249D2"/>
    <w:rsid w:val="00C260E8"/>
    <w:rsid w:val="00C30A36"/>
    <w:rsid w:val="00C30D19"/>
    <w:rsid w:val="00C312CC"/>
    <w:rsid w:val="00C3407E"/>
    <w:rsid w:val="00C34472"/>
    <w:rsid w:val="00C35938"/>
    <w:rsid w:val="00C45611"/>
    <w:rsid w:val="00C517BF"/>
    <w:rsid w:val="00C56CC1"/>
    <w:rsid w:val="00C57676"/>
    <w:rsid w:val="00C6115A"/>
    <w:rsid w:val="00C626F0"/>
    <w:rsid w:val="00C646EB"/>
    <w:rsid w:val="00C7584E"/>
    <w:rsid w:val="00C77BD5"/>
    <w:rsid w:val="00C804E6"/>
    <w:rsid w:val="00C81BD7"/>
    <w:rsid w:val="00C858CD"/>
    <w:rsid w:val="00C86889"/>
    <w:rsid w:val="00C90780"/>
    <w:rsid w:val="00C927B6"/>
    <w:rsid w:val="00C94B0F"/>
    <w:rsid w:val="00C94E7F"/>
    <w:rsid w:val="00C957B6"/>
    <w:rsid w:val="00C95D93"/>
    <w:rsid w:val="00C965F1"/>
    <w:rsid w:val="00C96661"/>
    <w:rsid w:val="00C9726F"/>
    <w:rsid w:val="00CA0312"/>
    <w:rsid w:val="00CA08B0"/>
    <w:rsid w:val="00CA1B7C"/>
    <w:rsid w:val="00CA2C84"/>
    <w:rsid w:val="00CC1BA0"/>
    <w:rsid w:val="00CC5300"/>
    <w:rsid w:val="00CD3D74"/>
    <w:rsid w:val="00CD5D61"/>
    <w:rsid w:val="00CE1C91"/>
    <w:rsid w:val="00CE4C14"/>
    <w:rsid w:val="00CF03AC"/>
    <w:rsid w:val="00CF596B"/>
    <w:rsid w:val="00CF597C"/>
    <w:rsid w:val="00CF5E7C"/>
    <w:rsid w:val="00D01D70"/>
    <w:rsid w:val="00D0419F"/>
    <w:rsid w:val="00D045BB"/>
    <w:rsid w:val="00D05A96"/>
    <w:rsid w:val="00D065DD"/>
    <w:rsid w:val="00D06AA8"/>
    <w:rsid w:val="00D07871"/>
    <w:rsid w:val="00D1129B"/>
    <w:rsid w:val="00D148B2"/>
    <w:rsid w:val="00D15F60"/>
    <w:rsid w:val="00D16DF2"/>
    <w:rsid w:val="00D20612"/>
    <w:rsid w:val="00D20617"/>
    <w:rsid w:val="00D235EB"/>
    <w:rsid w:val="00D23B58"/>
    <w:rsid w:val="00D24CA0"/>
    <w:rsid w:val="00D25503"/>
    <w:rsid w:val="00D273EA"/>
    <w:rsid w:val="00D315BC"/>
    <w:rsid w:val="00D34D4E"/>
    <w:rsid w:val="00D440F4"/>
    <w:rsid w:val="00D50990"/>
    <w:rsid w:val="00D5188E"/>
    <w:rsid w:val="00D52039"/>
    <w:rsid w:val="00D54A48"/>
    <w:rsid w:val="00D67917"/>
    <w:rsid w:val="00D70C76"/>
    <w:rsid w:val="00D72198"/>
    <w:rsid w:val="00D723CB"/>
    <w:rsid w:val="00D7294E"/>
    <w:rsid w:val="00D7399D"/>
    <w:rsid w:val="00D80425"/>
    <w:rsid w:val="00D83624"/>
    <w:rsid w:val="00D8578E"/>
    <w:rsid w:val="00D87D80"/>
    <w:rsid w:val="00D90CD0"/>
    <w:rsid w:val="00D918A8"/>
    <w:rsid w:val="00D91A4F"/>
    <w:rsid w:val="00D9477E"/>
    <w:rsid w:val="00DA0BF8"/>
    <w:rsid w:val="00DA18C3"/>
    <w:rsid w:val="00DA2603"/>
    <w:rsid w:val="00DA38F0"/>
    <w:rsid w:val="00DA3B20"/>
    <w:rsid w:val="00DA4BB5"/>
    <w:rsid w:val="00DA5C0B"/>
    <w:rsid w:val="00DB1B17"/>
    <w:rsid w:val="00DB3FB1"/>
    <w:rsid w:val="00DB54E0"/>
    <w:rsid w:val="00DB7D3B"/>
    <w:rsid w:val="00DC112F"/>
    <w:rsid w:val="00DC2CE7"/>
    <w:rsid w:val="00DC525D"/>
    <w:rsid w:val="00DD1A31"/>
    <w:rsid w:val="00DD30C5"/>
    <w:rsid w:val="00DD74F9"/>
    <w:rsid w:val="00DE0748"/>
    <w:rsid w:val="00DE0E54"/>
    <w:rsid w:val="00DE2EBE"/>
    <w:rsid w:val="00DE4A51"/>
    <w:rsid w:val="00DE6488"/>
    <w:rsid w:val="00DE7FCB"/>
    <w:rsid w:val="00DF5A11"/>
    <w:rsid w:val="00E00355"/>
    <w:rsid w:val="00E118A9"/>
    <w:rsid w:val="00E151C4"/>
    <w:rsid w:val="00E168B3"/>
    <w:rsid w:val="00E23F29"/>
    <w:rsid w:val="00E25E82"/>
    <w:rsid w:val="00E27F8F"/>
    <w:rsid w:val="00E32990"/>
    <w:rsid w:val="00E33266"/>
    <w:rsid w:val="00E379B3"/>
    <w:rsid w:val="00E408D0"/>
    <w:rsid w:val="00E41E16"/>
    <w:rsid w:val="00E41FC7"/>
    <w:rsid w:val="00E4218C"/>
    <w:rsid w:val="00E42A69"/>
    <w:rsid w:val="00E42D16"/>
    <w:rsid w:val="00E43EE9"/>
    <w:rsid w:val="00E44626"/>
    <w:rsid w:val="00E4592C"/>
    <w:rsid w:val="00E509B3"/>
    <w:rsid w:val="00E5211B"/>
    <w:rsid w:val="00E55D8E"/>
    <w:rsid w:val="00E61CD3"/>
    <w:rsid w:val="00E647DC"/>
    <w:rsid w:val="00E70787"/>
    <w:rsid w:val="00E71E13"/>
    <w:rsid w:val="00E73C02"/>
    <w:rsid w:val="00E82D9A"/>
    <w:rsid w:val="00E864A2"/>
    <w:rsid w:val="00E86DBC"/>
    <w:rsid w:val="00E87EAD"/>
    <w:rsid w:val="00E91741"/>
    <w:rsid w:val="00E91B9F"/>
    <w:rsid w:val="00E952D2"/>
    <w:rsid w:val="00E96E05"/>
    <w:rsid w:val="00E979E2"/>
    <w:rsid w:val="00EA0F4D"/>
    <w:rsid w:val="00EA51CD"/>
    <w:rsid w:val="00EB102D"/>
    <w:rsid w:val="00EB3751"/>
    <w:rsid w:val="00EB46B0"/>
    <w:rsid w:val="00EB644C"/>
    <w:rsid w:val="00EB6D81"/>
    <w:rsid w:val="00EC01CD"/>
    <w:rsid w:val="00EC0577"/>
    <w:rsid w:val="00EC128D"/>
    <w:rsid w:val="00EC16DE"/>
    <w:rsid w:val="00EC2CA2"/>
    <w:rsid w:val="00EC6576"/>
    <w:rsid w:val="00EC6B42"/>
    <w:rsid w:val="00ED09EA"/>
    <w:rsid w:val="00ED112D"/>
    <w:rsid w:val="00ED45E4"/>
    <w:rsid w:val="00EE04B9"/>
    <w:rsid w:val="00EE1942"/>
    <w:rsid w:val="00EE4A41"/>
    <w:rsid w:val="00EE6420"/>
    <w:rsid w:val="00EF0D9C"/>
    <w:rsid w:val="00EF149C"/>
    <w:rsid w:val="00EF373E"/>
    <w:rsid w:val="00F03829"/>
    <w:rsid w:val="00F03E3D"/>
    <w:rsid w:val="00F048BC"/>
    <w:rsid w:val="00F06049"/>
    <w:rsid w:val="00F10F6F"/>
    <w:rsid w:val="00F13610"/>
    <w:rsid w:val="00F14F50"/>
    <w:rsid w:val="00F172F9"/>
    <w:rsid w:val="00F17CDA"/>
    <w:rsid w:val="00F2492A"/>
    <w:rsid w:val="00F24C44"/>
    <w:rsid w:val="00F259A2"/>
    <w:rsid w:val="00F263B2"/>
    <w:rsid w:val="00F273CA"/>
    <w:rsid w:val="00F276FD"/>
    <w:rsid w:val="00F27DD0"/>
    <w:rsid w:val="00F310C5"/>
    <w:rsid w:val="00F31C6F"/>
    <w:rsid w:val="00F363FD"/>
    <w:rsid w:val="00F370D9"/>
    <w:rsid w:val="00F37D01"/>
    <w:rsid w:val="00F418E1"/>
    <w:rsid w:val="00F45E12"/>
    <w:rsid w:val="00F47B0F"/>
    <w:rsid w:val="00F510B4"/>
    <w:rsid w:val="00F64CAB"/>
    <w:rsid w:val="00F66BCA"/>
    <w:rsid w:val="00F67CEE"/>
    <w:rsid w:val="00F701BC"/>
    <w:rsid w:val="00F752F0"/>
    <w:rsid w:val="00F75706"/>
    <w:rsid w:val="00F76940"/>
    <w:rsid w:val="00F76ECB"/>
    <w:rsid w:val="00F81D7C"/>
    <w:rsid w:val="00F820DC"/>
    <w:rsid w:val="00F8368E"/>
    <w:rsid w:val="00F8440F"/>
    <w:rsid w:val="00F9150D"/>
    <w:rsid w:val="00F92BEE"/>
    <w:rsid w:val="00F943F7"/>
    <w:rsid w:val="00F95D2B"/>
    <w:rsid w:val="00F95D4D"/>
    <w:rsid w:val="00FA17A0"/>
    <w:rsid w:val="00FA1875"/>
    <w:rsid w:val="00FA2C08"/>
    <w:rsid w:val="00FA5E4F"/>
    <w:rsid w:val="00FB0E02"/>
    <w:rsid w:val="00FB7493"/>
    <w:rsid w:val="00FB77CA"/>
    <w:rsid w:val="00FB7897"/>
    <w:rsid w:val="00FC412E"/>
    <w:rsid w:val="00FC52EB"/>
    <w:rsid w:val="00FC6956"/>
    <w:rsid w:val="00FD46F6"/>
    <w:rsid w:val="00FD75A3"/>
    <w:rsid w:val="00FE0DB2"/>
    <w:rsid w:val="00FE179D"/>
    <w:rsid w:val="00FE2C06"/>
    <w:rsid w:val="00FE4979"/>
    <w:rsid w:val="00FE571E"/>
    <w:rsid w:val="00FE6F3C"/>
    <w:rsid w:val="00FE7BE3"/>
    <w:rsid w:val="00FF07E2"/>
    <w:rsid w:val="00FF2979"/>
    <w:rsid w:val="00FF2A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431ECB-C9E6-44FF-91DA-4F7AFB23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C02"/>
    <w:pPr>
      <w:bidi/>
      <w:spacing w:after="200" w:line="276" w:lineRule="auto"/>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2">
    <w:name w:val="heading 2"/>
    <w:basedOn w:val="a"/>
    <w:next w:val="a"/>
    <w:link w:val="20"/>
    <w:uiPriority w:val="9"/>
    <w:semiHidden/>
    <w:unhideWhenUsed/>
    <w:qFormat/>
    <w:rsid w:val="008270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270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5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1">
    <w:name w:val="Body Text 2"/>
    <w:basedOn w:val="a"/>
    <w:link w:val="22"/>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2">
    <w:name w:val="גוף טקסט 2 תו"/>
    <w:basedOn w:val="a0"/>
    <w:link w:val="21"/>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character" w:customStyle="1" w:styleId="20">
    <w:name w:val="כותרת 2 תו"/>
    <w:basedOn w:val="a0"/>
    <w:link w:val="2"/>
    <w:uiPriority w:val="9"/>
    <w:semiHidden/>
    <w:rsid w:val="0082701A"/>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semiHidden/>
    <w:rsid w:val="0082701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50069">
      <w:bodyDiv w:val="1"/>
      <w:marLeft w:val="0"/>
      <w:marRight w:val="0"/>
      <w:marTop w:val="0"/>
      <w:marBottom w:val="0"/>
      <w:divBdr>
        <w:top w:val="none" w:sz="0" w:space="0" w:color="auto"/>
        <w:left w:val="none" w:sz="0" w:space="0" w:color="auto"/>
        <w:bottom w:val="none" w:sz="0" w:space="0" w:color="auto"/>
        <w:right w:val="none" w:sz="0" w:space="0" w:color="auto"/>
      </w:divBdr>
    </w:div>
    <w:div w:id="412166130">
      <w:bodyDiv w:val="1"/>
      <w:marLeft w:val="0"/>
      <w:marRight w:val="0"/>
      <w:marTop w:val="0"/>
      <w:marBottom w:val="0"/>
      <w:divBdr>
        <w:top w:val="none" w:sz="0" w:space="0" w:color="auto"/>
        <w:left w:val="none" w:sz="0" w:space="0" w:color="auto"/>
        <w:bottom w:val="none" w:sz="0" w:space="0" w:color="auto"/>
        <w:right w:val="none" w:sz="0" w:space="0" w:color="auto"/>
      </w:divBdr>
      <w:divsChild>
        <w:div w:id="1093823761">
          <w:marLeft w:val="0"/>
          <w:marRight w:val="547"/>
          <w:marTop w:val="0"/>
          <w:marBottom w:val="0"/>
          <w:divBdr>
            <w:top w:val="none" w:sz="0" w:space="0" w:color="auto"/>
            <w:left w:val="none" w:sz="0" w:space="0" w:color="auto"/>
            <w:bottom w:val="none" w:sz="0" w:space="0" w:color="auto"/>
            <w:right w:val="none" w:sz="0" w:space="0" w:color="auto"/>
          </w:divBdr>
        </w:div>
        <w:div w:id="1077216169">
          <w:marLeft w:val="0"/>
          <w:marRight w:val="1166"/>
          <w:marTop w:val="0"/>
          <w:marBottom w:val="0"/>
          <w:divBdr>
            <w:top w:val="none" w:sz="0" w:space="0" w:color="auto"/>
            <w:left w:val="none" w:sz="0" w:space="0" w:color="auto"/>
            <w:bottom w:val="none" w:sz="0" w:space="0" w:color="auto"/>
            <w:right w:val="none" w:sz="0" w:space="0" w:color="auto"/>
          </w:divBdr>
        </w:div>
        <w:div w:id="1288976339">
          <w:marLeft w:val="0"/>
          <w:marRight w:val="1166"/>
          <w:marTop w:val="0"/>
          <w:marBottom w:val="0"/>
          <w:divBdr>
            <w:top w:val="none" w:sz="0" w:space="0" w:color="auto"/>
            <w:left w:val="none" w:sz="0" w:space="0" w:color="auto"/>
            <w:bottom w:val="none" w:sz="0" w:space="0" w:color="auto"/>
            <w:right w:val="none" w:sz="0" w:space="0" w:color="auto"/>
          </w:divBdr>
        </w:div>
        <w:div w:id="1573081121">
          <w:marLeft w:val="0"/>
          <w:marRight w:val="1166"/>
          <w:marTop w:val="0"/>
          <w:marBottom w:val="0"/>
          <w:divBdr>
            <w:top w:val="none" w:sz="0" w:space="0" w:color="auto"/>
            <w:left w:val="none" w:sz="0" w:space="0" w:color="auto"/>
            <w:bottom w:val="none" w:sz="0" w:space="0" w:color="auto"/>
            <w:right w:val="none" w:sz="0" w:space="0" w:color="auto"/>
          </w:divBdr>
        </w:div>
      </w:divsChild>
    </w:div>
    <w:div w:id="146383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BABF80-B9F1-4F67-884A-C4746E7DA81B}" type="doc">
      <dgm:prSet loTypeId="urn:microsoft.com/office/officeart/2005/8/layout/process2" loCatId="process" qsTypeId="urn:microsoft.com/office/officeart/2005/8/quickstyle/simple1" qsCatId="simple" csTypeId="urn:microsoft.com/office/officeart/2005/8/colors/colorful4" csCatId="colorful" phldr="1"/>
      <dgm:spPr/>
    </dgm:pt>
    <dgm:pt modelId="{BDBC78FD-EC4C-4938-AC3F-6D3396AC4631}">
      <dgm:prSet phldrT="[טקסט]"/>
      <dgm:spPr/>
      <dgm:t>
        <a:bodyPr/>
        <a:lstStyle/>
        <a:p>
          <a:pPr rtl="1"/>
          <a:r>
            <a:rPr lang="he-IL">
              <a:latin typeface="David" panose="020E0502060401010101" pitchFamily="34" charset="-79"/>
              <a:cs typeface="David" panose="020E0502060401010101" pitchFamily="34" charset="-79"/>
            </a:rPr>
            <a:t>קריסת אנרון -2001</a:t>
          </a:r>
        </a:p>
      </dgm:t>
    </dgm:pt>
    <dgm:pt modelId="{27E964E2-B83A-4FD4-B7B4-6CA58D940DCF}" type="parTrans" cxnId="{6293B6CE-A789-4CE4-BC38-E498AF8B17C1}">
      <dgm:prSet/>
      <dgm:spPr/>
      <dgm:t>
        <a:bodyPr/>
        <a:lstStyle/>
        <a:p>
          <a:pPr rtl="1"/>
          <a:endParaRPr lang="he-IL"/>
        </a:p>
      </dgm:t>
    </dgm:pt>
    <dgm:pt modelId="{2271A3E3-5D96-47F6-9187-AD3A41D996DF}" type="sibTrans" cxnId="{6293B6CE-A789-4CE4-BC38-E498AF8B17C1}">
      <dgm:prSet/>
      <dgm:spPr/>
      <dgm:t>
        <a:bodyPr/>
        <a:lstStyle/>
        <a:p>
          <a:pPr rtl="1"/>
          <a:endParaRPr lang="he-IL">
            <a:latin typeface="David" panose="020E0502060401010101" pitchFamily="34" charset="-79"/>
            <a:cs typeface="David" panose="020E0502060401010101" pitchFamily="34" charset="-79"/>
          </a:endParaRPr>
        </a:p>
      </dgm:t>
    </dgm:pt>
    <dgm:pt modelId="{00780911-4D8F-429A-B565-4582120E85FA}">
      <dgm:prSet phldrT="[טקסט]"/>
      <dgm:spPr/>
      <dgm:t>
        <a:bodyPr/>
        <a:lstStyle/>
        <a:p>
          <a:pPr rtl="1"/>
          <a:r>
            <a:rPr lang="he-IL">
              <a:latin typeface="David" panose="020E0502060401010101" pitchFamily="34" charset="-79"/>
              <a:cs typeface="David" panose="020E0502060401010101" pitchFamily="34" charset="-79"/>
            </a:rPr>
            <a:t>הקמת </a:t>
          </a:r>
          <a:r>
            <a:rPr lang="en-US">
              <a:latin typeface="David" panose="020E0502060401010101" pitchFamily="34" charset="-79"/>
              <a:cs typeface="David" panose="020E0502060401010101" pitchFamily="34" charset="-79"/>
            </a:rPr>
            <a:t>PCAOB</a:t>
          </a:r>
          <a:r>
            <a:rPr lang="he-IL">
              <a:latin typeface="David" panose="020E0502060401010101" pitchFamily="34" charset="-79"/>
              <a:cs typeface="David" panose="020E0502060401010101" pitchFamily="34" charset="-79"/>
            </a:rPr>
            <a:t> - סמכויות פיקוח ל-</a:t>
          </a:r>
          <a:r>
            <a:rPr lang="en-US">
              <a:latin typeface="David" panose="020E0502060401010101" pitchFamily="34" charset="-79"/>
              <a:cs typeface="David" panose="020E0502060401010101" pitchFamily="34" charset="-79"/>
            </a:rPr>
            <a:t>SEC</a:t>
          </a:r>
          <a:r>
            <a:rPr lang="he-IL">
              <a:latin typeface="David" panose="020E0502060401010101" pitchFamily="34" charset="-79"/>
              <a:cs typeface="David" panose="020E0502060401010101" pitchFamily="34" charset="-79"/>
            </a:rPr>
            <a:t> - 2002</a:t>
          </a:r>
        </a:p>
      </dgm:t>
    </dgm:pt>
    <dgm:pt modelId="{6B415693-F737-482E-BE17-C1177E521DDA}" type="parTrans" cxnId="{71D131F4-14FC-4D87-91E4-EB9F3486AA71}">
      <dgm:prSet/>
      <dgm:spPr/>
      <dgm:t>
        <a:bodyPr/>
        <a:lstStyle/>
        <a:p>
          <a:pPr rtl="1"/>
          <a:endParaRPr lang="he-IL"/>
        </a:p>
      </dgm:t>
    </dgm:pt>
    <dgm:pt modelId="{32DF8B44-8348-44A1-9048-07C74393841F}" type="sibTrans" cxnId="{71D131F4-14FC-4D87-91E4-EB9F3486AA71}">
      <dgm:prSet/>
      <dgm:spPr/>
      <dgm:t>
        <a:bodyPr/>
        <a:lstStyle/>
        <a:p>
          <a:pPr rtl="1"/>
          <a:endParaRPr lang="he-IL">
            <a:latin typeface="David" panose="020E0502060401010101" pitchFamily="34" charset="-79"/>
            <a:cs typeface="David" panose="020E0502060401010101" pitchFamily="34" charset="-79"/>
          </a:endParaRPr>
        </a:p>
      </dgm:t>
    </dgm:pt>
    <dgm:pt modelId="{56F67F6B-00DD-4077-91B1-3D75E27C12CA}">
      <dgm:prSet phldrT="[טקסט]"/>
      <dgm:spPr/>
      <dgm:t>
        <a:bodyPr/>
        <a:lstStyle/>
        <a:p>
          <a:pPr rtl="1"/>
          <a:r>
            <a:rPr lang="he-IL">
              <a:latin typeface="David" panose="020E0502060401010101" pitchFamily="34" charset="-79"/>
              <a:cs typeface="David" panose="020E0502060401010101" pitchFamily="34" charset="-79"/>
            </a:rPr>
            <a:t>פרסום המצלת ועדת גושן - 2006</a:t>
          </a:r>
        </a:p>
      </dgm:t>
    </dgm:pt>
    <dgm:pt modelId="{5A0093C0-C377-4ABB-94EE-8D92CEC7CB3E}" type="parTrans" cxnId="{A80A8D1A-7497-4480-B89B-EB73D5312581}">
      <dgm:prSet/>
      <dgm:spPr/>
      <dgm:t>
        <a:bodyPr/>
        <a:lstStyle/>
        <a:p>
          <a:pPr rtl="1"/>
          <a:endParaRPr lang="he-IL"/>
        </a:p>
      </dgm:t>
    </dgm:pt>
    <dgm:pt modelId="{3C0B1684-DEEE-4EF0-9216-129559AA003C}" type="sibTrans" cxnId="{A80A8D1A-7497-4480-B89B-EB73D5312581}">
      <dgm:prSet/>
      <dgm:spPr/>
      <dgm:t>
        <a:bodyPr/>
        <a:lstStyle/>
        <a:p>
          <a:pPr rtl="1"/>
          <a:endParaRPr lang="he-IL">
            <a:latin typeface="David" panose="020E0502060401010101" pitchFamily="34" charset="-79"/>
            <a:cs typeface="David" panose="020E0502060401010101" pitchFamily="34" charset="-79"/>
          </a:endParaRPr>
        </a:p>
      </dgm:t>
    </dgm:pt>
    <dgm:pt modelId="{64DA8294-4778-4840-A2E9-E952C4BF9D02}">
      <dgm:prSet/>
      <dgm:spPr/>
      <dgm:t>
        <a:bodyPr/>
        <a:lstStyle/>
        <a:p>
          <a:pPr rtl="1"/>
          <a:r>
            <a:rPr lang="he-IL">
              <a:latin typeface="David" panose="020E0502060401010101" pitchFamily="34" charset="-79"/>
              <a:cs typeface="David" panose="020E0502060401010101" pitchFamily="34" charset="-79"/>
            </a:rPr>
            <a:t>הקמת המוסד לסקר עמיתים -2004</a:t>
          </a:r>
        </a:p>
      </dgm:t>
    </dgm:pt>
    <dgm:pt modelId="{EAA63758-8BE8-4C77-8DAE-71F17B82E175}" type="parTrans" cxnId="{722DDC26-0B69-417D-8F22-6759ADFCFE83}">
      <dgm:prSet/>
      <dgm:spPr/>
      <dgm:t>
        <a:bodyPr/>
        <a:lstStyle/>
        <a:p>
          <a:pPr rtl="1"/>
          <a:endParaRPr lang="he-IL"/>
        </a:p>
      </dgm:t>
    </dgm:pt>
    <dgm:pt modelId="{CE4B3915-B783-4D5C-A2D3-51A665D3966A}" type="sibTrans" cxnId="{722DDC26-0B69-417D-8F22-6759ADFCFE83}">
      <dgm:prSet/>
      <dgm:spPr/>
      <dgm:t>
        <a:bodyPr/>
        <a:lstStyle/>
        <a:p>
          <a:pPr rtl="1"/>
          <a:endParaRPr lang="he-IL">
            <a:latin typeface="David" panose="020E0502060401010101" pitchFamily="34" charset="-79"/>
            <a:cs typeface="David" panose="020E0502060401010101" pitchFamily="34" charset="-79"/>
          </a:endParaRPr>
        </a:p>
      </dgm:t>
    </dgm:pt>
    <dgm:pt modelId="{94E68EB2-360B-41B7-BE9F-CA15EAB7FDCE}">
      <dgm:prSet/>
      <dgm:spPr/>
      <dgm:t>
        <a:bodyPr/>
        <a:lstStyle/>
        <a:p>
          <a:pPr rtl="1"/>
          <a:r>
            <a:rPr lang="he-IL">
              <a:latin typeface="David" panose="020E0502060401010101" pitchFamily="34" charset="-79"/>
              <a:cs typeface="David" panose="020E0502060401010101" pitchFamily="34" charset="-79"/>
            </a:rPr>
            <a:t>החלת ה-</a:t>
          </a:r>
          <a:r>
            <a:rPr lang="en-US">
              <a:latin typeface="David" panose="020E0502060401010101" pitchFamily="34" charset="-79"/>
              <a:cs typeface="David" panose="020E0502060401010101" pitchFamily="34" charset="-79"/>
            </a:rPr>
            <a:t>SOX</a:t>
          </a:r>
          <a:r>
            <a:rPr lang="he-IL">
              <a:latin typeface="David" panose="020E0502060401010101" pitchFamily="34" charset="-79"/>
              <a:cs typeface="David" panose="020E0502060401010101" pitchFamily="34" charset="-79"/>
            </a:rPr>
            <a:t> המלא על בנקיםם חברות ביטוח וחברות ממשלתיות מסויימות - 2005-2008</a:t>
          </a:r>
        </a:p>
      </dgm:t>
    </dgm:pt>
    <dgm:pt modelId="{193FBE30-83A3-4903-A71A-7CE66DB5999A}" type="parTrans" cxnId="{59D420E6-DEF5-457A-B22D-17121C7A5D68}">
      <dgm:prSet/>
      <dgm:spPr/>
      <dgm:t>
        <a:bodyPr/>
        <a:lstStyle/>
        <a:p>
          <a:pPr rtl="1"/>
          <a:endParaRPr lang="he-IL"/>
        </a:p>
      </dgm:t>
    </dgm:pt>
    <dgm:pt modelId="{2F305582-5E4D-4847-AA8C-1962BFC80263}" type="sibTrans" cxnId="{59D420E6-DEF5-457A-B22D-17121C7A5D68}">
      <dgm:prSet/>
      <dgm:spPr/>
      <dgm:t>
        <a:bodyPr/>
        <a:lstStyle/>
        <a:p>
          <a:pPr rtl="1"/>
          <a:endParaRPr lang="he-IL">
            <a:latin typeface="David" panose="020E0502060401010101" pitchFamily="34" charset="-79"/>
            <a:cs typeface="David" panose="020E0502060401010101" pitchFamily="34" charset="-79"/>
          </a:endParaRPr>
        </a:p>
      </dgm:t>
    </dgm:pt>
    <dgm:pt modelId="{9E9DEC7B-2919-48D6-9B24-C6D9E1FC60CA}">
      <dgm:prSet/>
      <dgm:spPr/>
      <dgm:t>
        <a:bodyPr/>
        <a:lstStyle/>
        <a:p>
          <a:pPr rtl="1"/>
          <a:r>
            <a:rPr lang="he-IL">
              <a:latin typeface="David" panose="020E0502060401010101" pitchFamily="34" charset="-79"/>
              <a:cs typeface="David" panose="020E0502060401010101" pitchFamily="34" charset="-79"/>
            </a:rPr>
            <a:t>תיקון תקנות ני"ע (דו"חות תקופתייים ומיידיים) ותיקון על חוק החברות - 2009</a:t>
          </a:r>
        </a:p>
      </dgm:t>
    </dgm:pt>
    <dgm:pt modelId="{6B839E83-2A49-46B0-81D7-E08D7C1815FE}" type="parTrans" cxnId="{A33644C4-D71D-4DED-B67C-20B2991A0529}">
      <dgm:prSet/>
      <dgm:spPr/>
      <dgm:t>
        <a:bodyPr/>
        <a:lstStyle/>
        <a:p>
          <a:pPr rtl="1"/>
          <a:endParaRPr lang="he-IL"/>
        </a:p>
      </dgm:t>
    </dgm:pt>
    <dgm:pt modelId="{62139158-DE6C-49AE-AC1A-527BE4E1CF98}" type="sibTrans" cxnId="{A33644C4-D71D-4DED-B67C-20B2991A0529}">
      <dgm:prSet/>
      <dgm:spPr/>
      <dgm:t>
        <a:bodyPr/>
        <a:lstStyle/>
        <a:p>
          <a:pPr rtl="1"/>
          <a:endParaRPr lang="he-IL">
            <a:latin typeface="David" panose="020E0502060401010101" pitchFamily="34" charset="-79"/>
            <a:cs typeface="David" panose="020E0502060401010101" pitchFamily="34" charset="-79"/>
          </a:endParaRPr>
        </a:p>
      </dgm:t>
    </dgm:pt>
    <dgm:pt modelId="{A388C1C6-870F-48BA-8531-08160CA675E1}">
      <dgm:prSet/>
      <dgm:spPr/>
      <dgm:t>
        <a:bodyPr/>
        <a:lstStyle/>
        <a:p>
          <a:pPr rtl="1"/>
          <a:r>
            <a:rPr lang="he-IL">
              <a:latin typeface="David" panose="020E0502060401010101" pitchFamily="34" charset="-79"/>
              <a:cs typeface="David" panose="020E0502060401010101" pitchFamily="34" charset="-79"/>
            </a:rPr>
            <a:t>ביקורת אפקטיבית , רכיבי הבקרה הפנימית - </a:t>
          </a:r>
          <a:r>
            <a:rPr lang="en-US">
              <a:latin typeface="David" panose="020E0502060401010101" pitchFamily="34" charset="-79"/>
              <a:cs typeface="David" panose="020E0502060401010101" pitchFamily="34" charset="-79"/>
            </a:rPr>
            <a:t>ISOX</a:t>
          </a:r>
          <a:r>
            <a:rPr lang="he-IL">
              <a:latin typeface="David" panose="020E0502060401010101" pitchFamily="34" charset="-79"/>
              <a:cs typeface="David" panose="020E0502060401010101" pitchFamily="34" charset="-79"/>
            </a:rPr>
            <a:t> מ-2010</a:t>
          </a:r>
        </a:p>
      </dgm:t>
    </dgm:pt>
    <dgm:pt modelId="{084CBEA8-17AE-4529-83C0-214FBC09C014}" type="parTrans" cxnId="{FCF92AF9-B08F-4318-994E-9059C35BD86E}">
      <dgm:prSet/>
      <dgm:spPr/>
      <dgm:t>
        <a:bodyPr/>
        <a:lstStyle/>
        <a:p>
          <a:pPr rtl="1"/>
          <a:endParaRPr lang="he-IL"/>
        </a:p>
      </dgm:t>
    </dgm:pt>
    <dgm:pt modelId="{D0B2DF05-037F-434D-91D4-BDA5A0A287B4}" type="sibTrans" cxnId="{FCF92AF9-B08F-4318-994E-9059C35BD86E}">
      <dgm:prSet/>
      <dgm:spPr/>
      <dgm:t>
        <a:bodyPr/>
        <a:lstStyle/>
        <a:p>
          <a:pPr rtl="1"/>
          <a:endParaRPr lang="he-IL">
            <a:latin typeface="David" panose="020E0502060401010101" pitchFamily="34" charset="-79"/>
            <a:cs typeface="David" panose="020E0502060401010101" pitchFamily="34" charset="-79"/>
          </a:endParaRPr>
        </a:p>
      </dgm:t>
    </dgm:pt>
    <dgm:pt modelId="{A7881428-9571-4CF7-8653-CA30A002DCF1}">
      <dgm:prSet/>
      <dgm:spPr/>
      <dgm:t>
        <a:bodyPr/>
        <a:lstStyle/>
        <a:p>
          <a:pPr rtl="1"/>
          <a:r>
            <a:rPr lang="he-IL">
              <a:latin typeface="David" panose="020E0502060401010101" pitchFamily="34" charset="-79"/>
              <a:cs typeface="David" panose="020E0502060401010101" pitchFamily="34" charset="-79"/>
            </a:rPr>
            <a:t>נקבעו תקני ביקורת 103 (</a:t>
          </a:r>
          <a:r>
            <a:rPr lang="en-US">
              <a:latin typeface="David" panose="020E0502060401010101" pitchFamily="34" charset="-79"/>
              <a:cs typeface="David" panose="020E0502060401010101" pitchFamily="34" charset="-79"/>
            </a:rPr>
            <a:t>SOX</a:t>
          </a:r>
          <a:r>
            <a:rPr lang="he-IL">
              <a:latin typeface="David" panose="020E0502060401010101" pitchFamily="34" charset="-79"/>
              <a:cs typeface="David" panose="020E0502060401010101" pitchFamily="34" charset="-79"/>
            </a:rPr>
            <a:t>) ו-104</a:t>
          </a:r>
          <a:r>
            <a:rPr lang="en-US">
              <a:latin typeface="David" panose="020E0502060401010101" pitchFamily="34" charset="-79"/>
              <a:cs typeface="David" panose="020E0502060401010101" pitchFamily="34" charset="-79"/>
            </a:rPr>
            <a:t> </a:t>
          </a:r>
          <a:r>
            <a:rPr lang="he-IL">
              <a:latin typeface="David" panose="020E0502060401010101" pitchFamily="34" charset="-79"/>
              <a:cs typeface="David" panose="020E0502060401010101" pitchFamily="34" charset="-79"/>
            </a:rPr>
            <a:t>(</a:t>
          </a:r>
          <a:r>
            <a:rPr lang="en-US">
              <a:latin typeface="David" panose="020E0502060401010101" pitchFamily="34" charset="-79"/>
              <a:cs typeface="David" panose="020E0502060401010101" pitchFamily="34" charset="-79"/>
            </a:rPr>
            <a:t>ISOX</a:t>
          </a:r>
          <a:r>
            <a:rPr lang="he-IL">
              <a:latin typeface="David" panose="020E0502060401010101" pitchFamily="34" charset="-79"/>
              <a:cs typeface="David" panose="020E0502060401010101" pitchFamily="34" charset="-79"/>
            </a:rPr>
            <a:t>)</a:t>
          </a:r>
          <a:r>
            <a:rPr lang="en-US">
              <a:latin typeface="David" panose="020E0502060401010101" pitchFamily="34" charset="-79"/>
              <a:cs typeface="David" panose="020E0502060401010101" pitchFamily="34" charset="-79"/>
            </a:rPr>
            <a:t> - </a:t>
          </a:r>
          <a:r>
            <a:rPr lang="he-IL">
              <a:latin typeface="David" panose="020E0502060401010101" pitchFamily="34" charset="-79"/>
              <a:cs typeface="David" panose="020E0502060401010101" pitchFamily="34" charset="-79"/>
            </a:rPr>
            <a:t> 02/2011</a:t>
          </a:r>
        </a:p>
      </dgm:t>
    </dgm:pt>
    <dgm:pt modelId="{86A92195-ED44-4581-A9F3-F2EE2F752A7D}" type="parTrans" cxnId="{E58C3D73-1DAE-475E-B380-FF5BDFED68D2}">
      <dgm:prSet/>
      <dgm:spPr/>
      <dgm:t>
        <a:bodyPr/>
        <a:lstStyle/>
        <a:p>
          <a:pPr rtl="1"/>
          <a:endParaRPr lang="he-IL"/>
        </a:p>
      </dgm:t>
    </dgm:pt>
    <dgm:pt modelId="{25FABDC0-BF07-4251-B98D-C86B0D56329C}" type="sibTrans" cxnId="{E58C3D73-1DAE-475E-B380-FF5BDFED68D2}">
      <dgm:prSet/>
      <dgm:spPr/>
      <dgm:t>
        <a:bodyPr/>
        <a:lstStyle/>
        <a:p>
          <a:pPr rtl="1"/>
          <a:endParaRPr lang="he-IL">
            <a:latin typeface="David" panose="020E0502060401010101" pitchFamily="34" charset="-79"/>
            <a:cs typeface="David" panose="020E0502060401010101" pitchFamily="34" charset="-79"/>
          </a:endParaRPr>
        </a:p>
      </dgm:t>
    </dgm:pt>
    <dgm:pt modelId="{E365769A-0622-427E-AC00-1B5D6C8831E7}">
      <dgm:prSet/>
      <dgm:spPr/>
      <dgm:t>
        <a:bodyPr/>
        <a:lstStyle/>
        <a:p>
          <a:pPr rtl="1"/>
          <a:r>
            <a:rPr lang="he-IL">
              <a:latin typeface="David" panose="020E0502060401010101" pitchFamily="34" charset="-79"/>
              <a:cs typeface="David" panose="020E0502060401010101" pitchFamily="34" charset="-79"/>
            </a:rPr>
            <a:t>הצעה להקמת </a:t>
          </a:r>
          <a:r>
            <a:rPr lang="en-US">
              <a:latin typeface="David" panose="020E0502060401010101" pitchFamily="34" charset="-79"/>
              <a:cs typeface="David" panose="020E0502060401010101" pitchFamily="34" charset="-79"/>
            </a:rPr>
            <a:t>IPACOB</a:t>
          </a:r>
          <a:r>
            <a:rPr lang="he-IL">
              <a:latin typeface="David" panose="020E0502060401010101" pitchFamily="34" charset="-79"/>
              <a:cs typeface="David" panose="020E0502060401010101" pitchFamily="34" charset="-79"/>
            </a:rPr>
            <a:t>- 2012</a:t>
          </a:r>
        </a:p>
      </dgm:t>
    </dgm:pt>
    <dgm:pt modelId="{2EA247CB-2287-460F-8D91-2462028CC204}" type="parTrans" cxnId="{5C6EABCA-271E-42A9-9348-25C224564A9C}">
      <dgm:prSet/>
      <dgm:spPr/>
      <dgm:t>
        <a:bodyPr/>
        <a:lstStyle/>
        <a:p>
          <a:pPr rtl="1"/>
          <a:endParaRPr lang="he-IL"/>
        </a:p>
      </dgm:t>
    </dgm:pt>
    <dgm:pt modelId="{D1AA1EC6-B807-4C74-93A1-1AF9E3EE2F98}" type="sibTrans" cxnId="{5C6EABCA-271E-42A9-9348-25C224564A9C}">
      <dgm:prSet/>
      <dgm:spPr/>
      <dgm:t>
        <a:bodyPr/>
        <a:lstStyle/>
        <a:p>
          <a:pPr rtl="1"/>
          <a:endParaRPr lang="he-IL">
            <a:latin typeface="David" panose="020E0502060401010101" pitchFamily="34" charset="-79"/>
            <a:cs typeface="David" panose="020E0502060401010101" pitchFamily="34" charset="-79"/>
          </a:endParaRPr>
        </a:p>
      </dgm:t>
    </dgm:pt>
    <dgm:pt modelId="{26D6C15E-FF6C-4046-92A4-C7E8510C17E5}">
      <dgm:prSet/>
      <dgm:spPr/>
      <dgm:t>
        <a:bodyPr/>
        <a:lstStyle/>
        <a:p>
          <a:pPr rtl="1"/>
          <a:r>
            <a:rPr lang="he-IL">
              <a:latin typeface="David" panose="020E0502060401010101" pitchFamily="34" charset="-79"/>
              <a:cs typeface="David" panose="020E0502060401010101" pitchFamily="34" charset="-79"/>
            </a:rPr>
            <a:t>החל מ-2014 בוטל רטרואקטיבית מ-2013 . ה-</a:t>
          </a:r>
          <a:r>
            <a:rPr lang="en-US">
              <a:latin typeface="David" panose="020E0502060401010101" pitchFamily="34" charset="-79"/>
              <a:cs typeface="David" panose="020E0502060401010101" pitchFamily="34" charset="-79"/>
            </a:rPr>
            <a:t>ISOX</a:t>
          </a:r>
          <a:r>
            <a:rPr lang="he-IL">
              <a:latin typeface="David" panose="020E0502060401010101" pitchFamily="34" charset="-79"/>
              <a:cs typeface="David" panose="020E0502060401010101" pitchFamily="34" charset="-79"/>
            </a:rPr>
            <a:t> לגבי חברות ששוי השוק שלהן קטן מ-300,000,000 ש"ח (כ-60% מהחברות הציבוריות )</a:t>
          </a:r>
        </a:p>
      </dgm:t>
    </dgm:pt>
    <dgm:pt modelId="{8084A285-DA5A-414D-A740-BD11C0B16A1E}" type="parTrans" cxnId="{5A90E683-6F58-4A12-BCBC-B1B177AF7201}">
      <dgm:prSet/>
      <dgm:spPr/>
      <dgm:t>
        <a:bodyPr/>
        <a:lstStyle/>
        <a:p>
          <a:pPr rtl="1"/>
          <a:endParaRPr lang="he-IL"/>
        </a:p>
      </dgm:t>
    </dgm:pt>
    <dgm:pt modelId="{EFA907A8-A1AE-4157-9B41-0F1A9C6D3ADC}" type="sibTrans" cxnId="{5A90E683-6F58-4A12-BCBC-B1B177AF7201}">
      <dgm:prSet/>
      <dgm:spPr/>
      <dgm:t>
        <a:bodyPr/>
        <a:lstStyle/>
        <a:p>
          <a:pPr rtl="1"/>
          <a:endParaRPr lang="he-IL"/>
        </a:p>
      </dgm:t>
    </dgm:pt>
    <dgm:pt modelId="{8EF609DE-984B-4BC6-B95E-B17987676D00}">
      <dgm:prSet/>
      <dgm:spPr/>
      <dgm:t>
        <a:bodyPr/>
        <a:lstStyle/>
        <a:p>
          <a:pPr rtl="1"/>
          <a:r>
            <a:rPr lang="he-IL">
              <a:latin typeface="David" panose="020E0502060401010101" pitchFamily="34" charset="-79"/>
              <a:cs typeface="David" panose="020E0502060401010101" pitchFamily="34" charset="-79"/>
            </a:rPr>
            <a:t>נייר עמדה 199-9 של הרשות לני"ע - "כך עושים </a:t>
          </a:r>
          <a:r>
            <a:rPr lang="en-US">
              <a:latin typeface="David" panose="020E0502060401010101" pitchFamily="34" charset="-79"/>
              <a:cs typeface="David" panose="020E0502060401010101" pitchFamily="34" charset="-79"/>
            </a:rPr>
            <a:t>ISOX</a:t>
          </a:r>
          <a:r>
            <a:rPr lang="he-IL">
              <a:latin typeface="David" panose="020E0502060401010101" pitchFamily="34" charset="-79"/>
              <a:cs typeface="David" panose="020E0502060401010101" pitchFamily="34" charset="-79"/>
            </a:rPr>
            <a:t>"</a:t>
          </a:r>
          <a:r>
            <a:rPr lang="en-US">
              <a:latin typeface="David" panose="020E0502060401010101" pitchFamily="34" charset="-79"/>
              <a:cs typeface="David" panose="020E0502060401010101" pitchFamily="34" charset="-79"/>
            </a:rPr>
            <a:t> </a:t>
          </a:r>
          <a:r>
            <a:rPr lang="he-IL">
              <a:latin typeface="David" panose="020E0502060401010101" pitchFamily="34" charset="-79"/>
              <a:cs typeface="David" panose="020E0502060401010101" pitchFamily="34" charset="-79"/>
            </a:rPr>
            <a:t>- 23/11/10</a:t>
          </a:r>
        </a:p>
      </dgm:t>
    </dgm:pt>
    <dgm:pt modelId="{69363791-4D03-4E1F-AAE3-843CCDDB68AB}" type="parTrans" cxnId="{D58E7AD5-C1F9-4CF1-BB83-CFF0524618E3}">
      <dgm:prSet/>
      <dgm:spPr/>
      <dgm:t>
        <a:bodyPr/>
        <a:lstStyle/>
        <a:p>
          <a:pPr rtl="1"/>
          <a:endParaRPr lang="he-IL"/>
        </a:p>
      </dgm:t>
    </dgm:pt>
    <dgm:pt modelId="{BA883F30-745B-4296-B595-A0F3A099142B}" type="sibTrans" cxnId="{D58E7AD5-C1F9-4CF1-BB83-CFF0524618E3}">
      <dgm:prSet/>
      <dgm:spPr/>
      <dgm:t>
        <a:bodyPr/>
        <a:lstStyle/>
        <a:p>
          <a:pPr rtl="1"/>
          <a:endParaRPr lang="he-IL">
            <a:latin typeface="David" panose="020E0502060401010101" pitchFamily="34" charset="-79"/>
            <a:cs typeface="David" panose="020E0502060401010101" pitchFamily="34" charset="-79"/>
          </a:endParaRPr>
        </a:p>
      </dgm:t>
    </dgm:pt>
    <dgm:pt modelId="{9276720E-1881-45EC-9202-5412311CC449}" type="pres">
      <dgm:prSet presAssocID="{AEBABF80-B9F1-4F67-884A-C4746E7DA81B}" presName="linearFlow" presStyleCnt="0">
        <dgm:presLayoutVars>
          <dgm:resizeHandles val="exact"/>
        </dgm:presLayoutVars>
      </dgm:prSet>
      <dgm:spPr/>
    </dgm:pt>
    <dgm:pt modelId="{5A3D575E-907A-4622-8234-B4D1ACA64C1F}" type="pres">
      <dgm:prSet presAssocID="{BDBC78FD-EC4C-4938-AC3F-6D3396AC4631}" presName="node" presStyleLbl="node1" presStyleIdx="0" presStyleCnt="11" custScaleX="154724" custScaleY="113309" custLinFactNeighborY="0">
        <dgm:presLayoutVars>
          <dgm:bulletEnabled val="1"/>
        </dgm:presLayoutVars>
      </dgm:prSet>
      <dgm:spPr/>
      <dgm:t>
        <a:bodyPr/>
        <a:lstStyle/>
        <a:p>
          <a:pPr rtl="1"/>
          <a:endParaRPr lang="he-IL"/>
        </a:p>
      </dgm:t>
    </dgm:pt>
    <dgm:pt modelId="{5290D09B-FED3-4B15-8353-55945EB6241C}" type="pres">
      <dgm:prSet presAssocID="{2271A3E3-5D96-47F6-9187-AD3A41D996DF}" presName="sibTrans" presStyleLbl="sibTrans2D1" presStyleIdx="0" presStyleCnt="10" custScaleX="196010" custScaleY="103792"/>
      <dgm:spPr/>
    </dgm:pt>
    <dgm:pt modelId="{CAA7A0D8-CA4B-4FF5-A02B-17E3A386EC9C}" type="pres">
      <dgm:prSet presAssocID="{2271A3E3-5D96-47F6-9187-AD3A41D996DF}" presName="connectorText" presStyleLbl="sibTrans2D1" presStyleIdx="0" presStyleCnt="10"/>
      <dgm:spPr/>
    </dgm:pt>
    <dgm:pt modelId="{257F32EE-9718-4D26-B30D-F8EF3BB5728F}" type="pres">
      <dgm:prSet presAssocID="{00780911-4D8F-429A-B565-4582120E85FA}" presName="node" presStyleLbl="node1" presStyleIdx="1" presStyleCnt="11" custScaleX="154724" custScaleY="113309" custLinFactNeighborY="0">
        <dgm:presLayoutVars>
          <dgm:bulletEnabled val="1"/>
        </dgm:presLayoutVars>
      </dgm:prSet>
      <dgm:spPr/>
      <dgm:t>
        <a:bodyPr/>
        <a:lstStyle/>
        <a:p>
          <a:pPr rtl="1"/>
          <a:endParaRPr lang="he-IL"/>
        </a:p>
      </dgm:t>
    </dgm:pt>
    <dgm:pt modelId="{FE20DB7D-9006-4E23-8A66-43F1F0F25A3B}" type="pres">
      <dgm:prSet presAssocID="{32DF8B44-8348-44A1-9048-07C74393841F}" presName="sibTrans" presStyleLbl="sibTrans2D1" presStyleIdx="1" presStyleCnt="10" custScaleX="196010" custScaleY="103792"/>
      <dgm:spPr/>
    </dgm:pt>
    <dgm:pt modelId="{3E1EA1EC-82EF-4864-A8A9-6D9BA5665982}" type="pres">
      <dgm:prSet presAssocID="{32DF8B44-8348-44A1-9048-07C74393841F}" presName="connectorText" presStyleLbl="sibTrans2D1" presStyleIdx="1" presStyleCnt="10"/>
      <dgm:spPr/>
    </dgm:pt>
    <dgm:pt modelId="{1E33F0E3-84DD-4964-9D37-EBD68A68DC63}" type="pres">
      <dgm:prSet presAssocID="{64DA8294-4778-4840-A2E9-E952C4BF9D02}" presName="node" presStyleLbl="node1" presStyleIdx="2" presStyleCnt="11" custScaleX="154724" custScaleY="113309" custLinFactNeighborY="0">
        <dgm:presLayoutVars>
          <dgm:bulletEnabled val="1"/>
        </dgm:presLayoutVars>
      </dgm:prSet>
      <dgm:spPr/>
      <dgm:t>
        <a:bodyPr/>
        <a:lstStyle/>
        <a:p>
          <a:pPr rtl="1"/>
          <a:endParaRPr lang="he-IL"/>
        </a:p>
      </dgm:t>
    </dgm:pt>
    <dgm:pt modelId="{7668F997-2303-4660-81BA-0DDDC498D44C}" type="pres">
      <dgm:prSet presAssocID="{CE4B3915-B783-4D5C-A2D3-51A665D3966A}" presName="sibTrans" presStyleLbl="sibTrans2D1" presStyleIdx="2" presStyleCnt="10" custScaleX="196010" custScaleY="103792"/>
      <dgm:spPr/>
    </dgm:pt>
    <dgm:pt modelId="{3E239A54-2B16-4FF6-B616-4B62794DCDB6}" type="pres">
      <dgm:prSet presAssocID="{CE4B3915-B783-4D5C-A2D3-51A665D3966A}" presName="connectorText" presStyleLbl="sibTrans2D1" presStyleIdx="2" presStyleCnt="10"/>
      <dgm:spPr/>
    </dgm:pt>
    <dgm:pt modelId="{C1195AFA-0091-4E30-8C17-A1472E73331C}" type="pres">
      <dgm:prSet presAssocID="{56F67F6B-00DD-4077-91B1-3D75E27C12CA}" presName="node" presStyleLbl="node1" presStyleIdx="3" presStyleCnt="11" custScaleX="154724" custScaleY="113309" custLinFactNeighborY="0">
        <dgm:presLayoutVars>
          <dgm:bulletEnabled val="1"/>
        </dgm:presLayoutVars>
      </dgm:prSet>
      <dgm:spPr/>
    </dgm:pt>
    <dgm:pt modelId="{FF3CA050-A0AC-486F-BA95-3C9B5F1AA9EC}" type="pres">
      <dgm:prSet presAssocID="{3C0B1684-DEEE-4EF0-9216-129559AA003C}" presName="sibTrans" presStyleLbl="sibTrans2D1" presStyleIdx="3" presStyleCnt="10" custScaleX="196010" custScaleY="103792"/>
      <dgm:spPr/>
    </dgm:pt>
    <dgm:pt modelId="{0FD65583-18DC-4D02-81C8-0CB3D66E1276}" type="pres">
      <dgm:prSet presAssocID="{3C0B1684-DEEE-4EF0-9216-129559AA003C}" presName="connectorText" presStyleLbl="sibTrans2D1" presStyleIdx="3" presStyleCnt="10"/>
      <dgm:spPr/>
    </dgm:pt>
    <dgm:pt modelId="{FE2D4ADE-1DEA-40DD-84BB-434B3671CED0}" type="pres">
      <dgm:prSet presAssocID="{94E68EB2-360B-41B7-BE9F-CA15EAB7FDCE}" presName="node" presStyleLbl="node1" presStyleIdx="4" presStyleCnt="11" custScaleX="154724" custScaleY="113309" custLinFactNeighborY="0">
        <dgm:presLayoutVars>
          <dgm:bulletEnabled val="1"/>
        </dgm:presLayoutVars>
      </dgm:prSet>
      <dgm:spPr/>
    </dgm:pt>
    <dgm:pt modelId="{FFB88967-E84E-438A-AF1A-A3CA0A9C109A}" type="pres">
      <dgm:prSet presAssocID="{2F305582-5E4D-4847-AA8C-1962BFC80263}" presName="sibTrans" presStyleLbl="sibTrans2D1" presStyleIdx="4" presStyleCnt="10" custScaleX="196010" custScaleY="103792"/>
      <dgm:spPr/>
    </dgm:pt>
    <dgm:pt modelId="{31F5D2F3-0418-4725-B545-EE4697F216B0}" type="pres">
      <dgm:prSet presAssocID="{2F305582-5E4D-4847-AA8C-1962BFC80263}" presName="connectorText" presStyleLbl="sibTrans2D1" presStyleIdx="4" presStyleCnt="10"/>
      <dgm:spPr/>
    </dgm:pt>
    <dgm:pt modelId="{1ED05DBD-C303-4E2E-8CF6-CD5FC3D31C89}" type="pres">
      <dgm:prSet presAssocID="{9E9DEC7B-2919-48D6-9B24-C6D9E1FC60CA}" presName="node" presStyleLbl="node1" presStyleIdx="5" presStyleCnt="11" custScaleX="154724" custScaleY="113309" custLinFactNeighborY="0">
        <dgm:presLayoutVars>
          <dgm:bulletEnabled val="1"/>
        </dgm:presLayoutVars>
      </dgm:prSet>
      <dgm:spPr/>
      <dgm:t>
        <a:bodyPr/>
        <a:lstStyle/>
        <a:p>
          <a:pPr rtl="1"/>
          <a:endParaRPr lang="he-IL"/>
        </a:p>
      </dgm:t>
    </dgm:pt>
    <dgm:pt modelId="{78FDCDE7-6510-46F1-8C93-2DF73E33E1E2}" type="pres">
      <dgm:prSet presAssocID="{62139158-DE6C-49AE-AC1A-527BE4E1CF98}" presName="sibTrans" presStyleLbl="sibTrans2D1" presStyleIdx="5" presStyleCnt="10" custScaleX="196010" custScaleY="103792"/>
      <dgm:spPr/>
    </dgm:pt>
    <dgm:pt modelId="{C8F3858D-A6A8-480F-9E7C-FAD217764E81}" type="pres">
      <dgm:prSet presAssocID="{62139158-DE6C-49AE-AC1A-527BE4E1CF98}" presName="connectorText" presStyleLbl="sibTrans2D1" presStyleIdx="5" presStyleCnt="10"/>
      <dgm:spPr/>
    </dgm:pt>
    <dgm:pt modelId="{392B5DF5-AD78-4540-A107-045DE8799328}" type="pres">
      <dgm:prSet presAssocID="{8EF609DE-984B-4BC6-B95E-B17987676D00}" presName="node" presStyleLbl="node1" presStyleIdx="6" presStyleCnt="11" custScaleX="154724" custScaleY="113309" custLinFactNeighborY="0">
        <dgm:presLayoutVars>
          <dgm:bulletEnabled val="1"/>
        </dgm:presLayoutVars>
      </dgm:prSet>
      <dgm:spPr/>
      <dgm:t>
        <a:bodyPr/>
        <a:lstStyle/>
        <a:p>
          <a:pPr rtl="1"/>
          <a:endParaRPr lang="he-IL"/>
        </a:p>
      </dgm:t>
    </dgm:pt>
    <dgm:pt modelId="{AD9F850D-50C9-4553-84BF-3344AF5DEBAA}" type="pres">
      <dgm:prSet presAssocID="{BA883F30-745B-4296-B595-A0F3A099142B}" presName="sibTrans" presStyleLbl="sibTrans2D1" presStyleIdx="6" presStyleCnt="10" custScaleX="196010" custScaleY="103792"/>
      <dgm:spPr/>
    </dgm:pt>
    <dgm:pt modelId="{9E0F18FC-EABD-48FF-8D0D-C31F6A18FF2C}" type="pres">
      <dgm:prSet presAssocID="{BA883F30-745B-4296-B595-A0F3A099142B}" presName="connectorText" presStyleLbl="sibTrans2D1" presStyleIdx="6" presStyleCnt="10"/>
      <dgm:spPr/>
    </dgm:pt>
    <dgm:pt modelId="{880C2636-229B-4287-AF2E-26070518DADA}" type="pres">
      <dgm:prSet presAssocID="{A388C1C6-870F-48BA-8531-08160CA675E1}" presName="node" presStyleLbl="node1" presStyleIdx="7" presStyleCnt="11" custScaleX="154724" custScaleY="113309" custLinFactNeighborY="0">
        <dgm:presLayoutVars>
          <dgm:bulletEnabled val="1"/>
        </dgm:presLayoutVars>
      </dgm:prSet>
      <dgm:spPr/>
      <dgm:t>
        <a:bodyPr/>
        <a:lstStyle/>
        <a:p>
          <a:pPr rtl="1"/>
          <a:endParaRPr lang="he-IL"/>
        </a:p>
      </dgm:t>
    </dgm:pt>
    <dgm:pt modelId="{02509102-A5EF-4149-852A-65FD3F0516BA}" type="pres">
      <dgm:prSet presAssocID="{D0B2DF05-037F-434D-91D4-BDA5A0A287B4}" presName="sibTrans" presStyleLbl="sibTrans2D1" presStyleIdx="7" presStyleCnt="10" custScaleX="196010" custScaleY="103792"/>
      <dgm:spPr/>
    </dgm:pt>
    <dgm:pt modelId="{D7D87328-5B4E-4DD3-9DB0-B97369C4C615}" type="pres">
      <dgm:prSet presAssocID="{D0B2DF05-037F-434D-91D4-BDA5A0A287B4}" presName="connectorText" presStyleLbl="sibTrans2D1" presStyleIdx="7" presStyleCnt="10"/>
      <dgm:spPr/>
    </dgm:pt>
    <dgm:pt modelId="{F8C399CC-777D-41D3-B341-3E2CC8A20EB4}" type="pres">
      <dgm:prSet presAssocID="{A7881428-9571-4CF7-8653-CA30A002DCF1}" presName="node" presStyleLbl="node1" presStyleIdx="8" presStyleCnt="11" custScaleX="154724" custScaleY="113309" custLinFactNeighborY="0">
        <dgm:presLayoutVars>
          <dgm:bulletEnabled val="1"/>
        </dgm:presLayoutVars>
      </dgm:prSet>
      <dgm:spPr/>
      <dgm:t>
        <a:bodyPr/>
        <a:lstStyle/>
        <a:p>
          <a:pPr rtl="1"/>
          <a:endParaRPr lang="he-IL"/>
        </a:p>
      </dgm:t>
    </dgm:pt>
    <dgm:pt modelId="{10F7ACC7-8A33-48BE-878A-119BE9E03563}" type="pres">
      <dgm:prSet presAssocID="{25FABDC0-BF07-4251-B98D-C86B0D56329C}" presName="sibTrans" presStyleLbl="sibTrans2D1" presStyleIdx="8" presStyleCnt="10" custScaleX="196010" custScaleY="103792"/>
      <dgm:spPr/>
    </dgm:pt>
    <dgm:pt modelId="{700F180E-3668-44FB-BD06-90214694DC32}" type="pres">
      <dgm:prSet presAssocID="{25FABDC0-BF07-4251-B98D-C86B0D56329C}" presName="connectorText" presStyleLbl="sibTrans2D1" presStyleIdx="8" presStyleCnt="10"/>
      <dgm:spPr/>
    </dgm:pt>
    <dgm:pt modelId="{B6C30858-CF0F-4C57-B76B-C41D7D2FD33E}" type="pres">
      <dgm:prSet presAssocID="{E365769A-0622-427E-AC00-1B5D6C8831E7}" presName="node" presStyleLbl="node1" presStyleIdx="9" presStyleCnt="11" custScaleX="154724" custScaleY="113309" custLinFactNeighborY="0">
        <dgm:presLayoutVars>
          <dgm:bulletEnabled val="1"/>
        </dgm:presLayoutVars>
      </dgm:prSet>
      <dgm:spPr/>
      <dgm:t>
        <a:bodyPr/>
        <a:lstStyle/>
        <a:p>
          <a:pPr rtl="1"/>
          <a:endParaRPr lang="he-IL"/>
        </a:p>
      </dgm:t>
    </dgm:pt>
    <dgm:pt modelId="{B1869D98-F777-4E6D-A6F5-110A454037BD}" type="pres">
      <dgm:prSet presAssocID="{D1AA1EC6-B807-4C74-93A1-1AF9E3EE2F98}" presName="sibTrans" presStyleLbl="sibTrans2D1" presStyleIdx="9" presStyleCnt="10" custScaleX="196010" custScaleY="103792"/>
      <dgm:spPr/>
    </dgm:pt>
    <dgm:pt modelId="{E1EA52E5-E6A4-4C40-B7A2-A965B8E44D80}" type="pres">
      <dgm:prSet presAssocID="{D1AA1EC6-B807-4C74-93A1-1AF9E3EE2F98}" presName="connectorText" presStyleLbl="sibTrans2D1" presStyleIdx="9" presStyleCnt="10"/>
      <dgm:spPr/>
    </dgm:pt>
    <dgm:pt modelId="{461773EB-9760-44C4-AEB8-6E4DA4A2EFA2}" type="pres">
      <dgm:prSet presAssocID="{26D6C15E-FF6C-4046-92A4-C7E8510C17E5}" presName="node" presStyleLbl="node1" presStyleIdx="10" presStyleCnt="11" custScaleX="154724" custScaleY="113309" custLinFactNeighborY="0">
        <dgm:presLayoutVars>
          <dgm:bulletEnabled val="1"/>
        </dgm:presLayoutVars>
      </dgm:prSet>
      <dgm:spPr/>
      <dgm:t>
        <a:bodyPr/>
        <a:lstStyle/>
        <a:p>
          <a:pPr rtl="1"/>
          <a:endParaRPr lang="he-IL"/>
        </a:p>
      </dgm:t>
    </dgm:pt>
  </dgm:ptLst>
  <dgm:cxnLst>
    <dgm:cxn modelId="{D58E7AD5-C1F9-4CF1-BB83-CFF0524618E3}" srcId="{AEBABF80-B9F1-4F67-884A-C4746E7DA81B}" destId="{8EF609DE-984B-4BC6-B95E-B17987676D00}" srcOrd="6" destOrd="0" parTransId="{69363791-4D03-4E1F-AAE3-843CCDDB68AB}" sibTransId="{BA883F30-745B-4296-B595-A0F3A099142B}"/>
    <dgm:cxn modelId="{280FAA69-122B-4A56-A996-199B7C01C841}" type="presOf" srcId="{D0B2DF05-037F-434D-91D4-BDA5A0A287B4}" destId="{D7D87328-5B4E-4DD3-9DB0-B97369C4C615}" srcOrd="1" destOrd="0" presId="urn:microsoft.com/office/officeart/2005/8/layout/process2"/>
    <dgm:cxn modelId="{E58C3D73-1DAE-475E-B380-FF5BDFED68D2}" srcId="{AEBABF80-B9F1-4F67-884A-C4746E7DA81B}" destId="{A7881428-9571-4CF7-8653-CA30A002DCF1}" srcOrd="8" destOrd="0" parTransId="{86A92195-ED44-4581-A9F3-F2EE2F752A7D}" sibTransId="{25FABDC0-BF07-4251-B98D-C86B0D56329C}"/>
    <dgm:cxn modelId="{722DDC26-0B69-417D-8F22-6759ADFCFE83}" srcId="{AEBABF80-B9F1-4F67-884A-C4746E7DA81B}" destId="{64DA8294-4778-4840-A2E9-E952C4BF9D02}" srcOrd="2" destOrd="0" parTransId="{EAA63758-8BE8-4C77-8DAE-71F17B82E175}" sibTransId="{CE4B3915-B783-4D5C-A2D3-51A665D3966A}"/>
    <dgm:cxn modelId="{537F25D9-DF6F-484B-876F-D2964FB5A9C7}" type="presOf" srcId="{3C0B1684-DEEE-4EF0-9216-129559AA003C}" destId="{FF3CA050-A0AC-486F-BA95-3C9B5F1AA9EC}" srcOrd="0" destOrd="0" presId="urn:microsoft.com/office/officeart/2005/8/layout/process2"/>
    <dgm:cxn modelId="{21B0CB37-B7B9-430E-A191-1C20C678394D}" type="presOf" srcId="{2F305582-5E4D-4847-AA8C-1962BFC80263}" destId="{FFB88967-E84E-438A-AF1A-A3CA0A9C109A}" srcOrd="0" destOrd="0" presId="urn:microsoft.com/office/officeart/2005/8/layout/process2"/>
    <dgm:cxn modelId="{E3561D3D-BD58-4580-AF0E-8F933122A790}" type="presOf" srcId="{56F67F6B-00DD-4077-91B1-3D75E27C12CA}" destId="{C1195AFA-0091-4E30-8C17-A1472E73331C}" srcOrd="0" destOrd="0" presId="urn:microsoft.com/office/officeart/2005/8/layout/process2"/>
    <dgm:cxn modelId="{8A56CB5E-4F4F-4A03-8E4E-7DE6815021FB}" type="presOf" srcId="{D1AA1EC6-B807-4C74-93A1-1AF9E3EE2F98}" destId="{E1EA52E5-E6A4-4C40-B7A2-A965B8E44D80}" srcOrd="1" destOrd="0" presId="urn:microsoft.com/office/officeart/2005/8/layout/process2"/>
    <dgm:cxn modelId="{C14FE9E5-D278-4641-8F30-C01FBCEF8BFA}" type="presOf" srcId="{00780911-4D8F-429A-B565-4582120E85FA}" destId="{257F32EE-9718-4D26-B30D-F8EF3BB5728F}" srcOrd="0" destOrd="0" presId="urn:microsoft.com/office/officeart/2005/8/layout/process2"/>
    <dgm:cxn modelId="{0C295394-22BF-4D11-AA0B-CAED168D4A32}" type="presOf" srcId="{BA883F30-745B-4296-B595-A0F3A099142B}" destId="{AD9F850D-50C9-4553-84BF-3344AF5DEBAA}" srcOrd="0" destOrd="0" presId="urn:microsoft.com/office/officeart/2005/8/layout/process2"/>
    <dgm:cxn modelId="{FD8CC293-D181-41CC-A510-9242D23A57C3}" type="presOf" srcId="{26D6C15E-FF6C-4046-92A4-C7E8510C17E5}" destId="{461773EB-9760-44C4-AEB8-6E4DA4A2EFA2}" srcOrd="0" destOrd="0" presId="urn:microsoft.com/office/officeart/2005/8/layout/process2"/>
    <dgm:cxn modelId="{6D138047-9A1F-4DFB-A999-ACD1463E3AF0}" type="presOf" srcId="{3C0B1684-DEEE-4EF0-9216-129559AA003C}" destId="{0FD65583-18DC-4D02-81C8-0CB3D66E1276}" srcOrd="1" destOrd="0" presId="urn:microsoft.com/office/officeart/2005/8/layout/process2"/>
    <dgm:cxn modelId="{598EAB97-3884-4ABC-B7EE-E1430CB34D44}" type="presOf" srcId="{8EF609DE-984B-4BC6-B95E-B17987676D00}" destId="{392B5DF5-AD78-4540-A107-045DE8799328}" srcOrd="0" destOrd="0" presId="urn:microsoft.com/office/officeart/2005/8/layout/process2"/>
    <dgm:cxn modelId="{F128CD11-6575-40F7-B94D-5E2902ACC679}" type="presOf" srcId="{AEBABF80-B9F1-4F67-884A-C4746E7DA81B}" destId="{9276720E-1881-45EC-9202-5412311CC449}" srcOrd="0" destOrd="0" presId="urn:microsoft.com/office/officeart/2005/8/layout/process2"/>
    <dgm:cxn modelId="{A009D80E-C4BA-43A1-A0D7-F27654A9E2AF}" type="presOf" srcId="{D1AA1EC6-B807-4C74-93A1-1AF9E3EE2F98}" destId="{B1869D98-F777-4E6D-A6F5-110A454037BD}" srcOrd="0" destOrd="0" presId="urn:microsoft.com/office/officeart/2005/8/layout/process2"/>
    <dgm:cxn modelId="{5DCB0AB5-9EAD-4D74-8742-C8A0A9723138}" type="presOf" srcId="{BDBC78FD-EC4C-4938-AC3F-6D3396AC4631}" destId="{5A3D575E-907A-4622-8234-B4D1ACA64C1F}" srcOrd="0" destOrd="0" presId="urn:microsoft.com/office/officeart/2005/8/layout/process2"/>
    <dgm:cxn modelId="{61BDBAB8-1971-4A62-8AF6-FB7E9071BB52}" type="presOf" srcId="{E365769A-0622-427E-AC00-1B5D6C8831E7}" destId="{B6C30858-CF0F-4C57-B76B-C41D7D2FD33E}" srcOrd="0" destOrd="0" presId="urn:microsoft.com/office/officeart/2005/8/layout/process2"/>
    <dgm:cxn modelId="{2C5D9D49-DBA2-4324-9FC4-AA883627C6D2}" type="presOf" srcId="{25FABDC0-BF07-4251-B98D-C86B0D56329C}" destId="{10F7ACC7-8A33-48BE-878A-119BE9E03563}" srcOrd="0" destOrd="0" presId="urn:microsoft.com/office/officeart/2005/8/layout/process2"/>
    <dgm:cxn modelId="{E7A35F19-8330-44A8-A583-598144DE2018}" type="presOf" srcId="{CE4B3915-B783-4D5C-A2D3-51A665D3966A}" destId="{7668F997-2303-4660-81BA-0DDDC498D44C}" srcOrd="0" destOrd="0" presId="urn:microsoft.com/office/officeart/2005/8/layout/process2"/>
    <dgm:cxn modelId="{2C58FECA-5117-4027-85BA-C7B37E61E9A5}" type="presOf" srcId="{64DA8294-4778-4840-A2E9-E952C4BF9D02}" destId="{1E33F0E3-84DD-4964-9D37-EBD68A68DC63}" srcOrd="0" destOrd="0" presId="urn:microsoft.com/office/officeart/2005/8/layout/process2"/>
    <dgm:cxn modelId="{EDE557EC-1288-4AC3-A7BB-335AF97C7621}" type="presOf" srcId="{2271A3E3-5D96-47F6-9187-AD3A41D996DF}" destId="{CAA7A0D8-CA4B-4FF5-A02B-17E3A386EC9C}" srcOrd="1" destOrd="0" presId="urn:microsoft.com/office/officeart/2005/8/layout/process2"/>
    <dgm:cxn modelId="{9DAF410E-96BB-4DA9-AEF3-241DCCB35442}" type="presOf" srcId="{D0B2DF05-037F-434D-91D4-BDA5A0A287B4}" destId="{02509102-A5EF-4149-852A-65FD3F0516BA}" srcOrd="0" destOrd="0" presId="urn:microsoft.com/office/officeart/2005/8/layout/process2"/>
    <dgm:cxn modelId="{59D420E6-DEF5-457A-B22D-17121C7A5D68}" srcId="{AEBABF80-B9F1-4F67-884A-C4746E7DA81B}" destId="{94E68EB2-360B-41B7-BE9F-CA15EAB7FDCE}" srcOrd="4" destOrd="0" parTransId="{193FBE30-83A3-4903-A71A-7CE66DB5999A}" sibTransId="{2F305582-5E4D-4847-AA8C-1962BFC80263}"/>
    <dgm:cxn modelId="{5A140E09-3B9A-4A17-AC77-424C95547723}" type="presOf" srcId="{2271A3E3-5D96-47F6-9187-AD3A41D996DF}" destId="{5290D09B-FED3-4B15-8353-55945EB6241C}" srcOrd="0" destOrd="0" presId="urn:microsoft.com/office/officeart/2005/8/layout/process2"/>
    <dgm:cxn modelId="{5A90E683-6F58-4A12-BCBC-B1B177AF7201}" srcId="{AEBABF80-B9F1-4F67-884A-C4746E7DA81B}" destId="{26D6C15E-FF6C-4046-92A4-C7E8510C17E5}" srcOrd="10" destOrd="0" parTransId="{8084A285-DA5A-414D-A740-BD11C0B16A1E}" sibTransId="{EFA907A8-A1AE-4157-9B41-0F1A9C6D3ADC}"/>
    <dgm:cxn modelId="{A8F69741-75DE-4D9A-A551-F7924003FDD1}" type="presOf" srcId="{2F305582-5E4D-4847-AA8C-1962BFC80263}" destId="{31F5D2F3-0418-4725-B545-EE4697F216B0}" srcOrd="1" destOrd="0" presId="urn:microsoft.com/office/officeart/2005/8/layout/process2"/>
    <dgm:cxn modelId="{D7411CC8-4245-4548-9309-734130415C94}" type="presOf" srcId="{94E68EB2-360B-41B7-BE9F-CA15EAB7FDCE}" destId="{FE2D4ADE-1DEA-40DD-84BB-434B3671CED0}" srcOrd="0" destOrd="0" presId="urn:microsoft.com/office/officeart/2005/8/layout/process2"/>
    <dgm:cxn modelId="{5C6EABCA-271E-42A9-9348-25C224564A9C}" srcId="{AEBABF80-B9F1-4F67-884A-C4746E7DA81B}" destId="{E365769A-0622-427E-AC00-1B5D6C8831E7}" srcOrd="9" destOrd="0" parTransId="{2EA247CB-2287-460F-8D91-2462028CC204}" sibTransId="{D1AA1EC6-B807-4C74-93A1-1AF9E3EE2F98}"/>
    <dgm:cxn modelId="{F783BFD0-54ED-4B4D-913A-152B376D3442}" type="presOf" srcId="{32DF8B44-8348-44A1-9048-07C74393841F}" destId="{FE20DB7D-9006-4E23-8A66-43F1F0F25A3B}" srcOrd="0" destOrd="0" presId="urn:microsoft.com/office/officeart/2005/8/layout/process2"/>
    <dgm:cxn modelId="{C2C8680C-9B18-4BC7-95D9-6E8285DD9FEB}" type="presOf" srcId="{BA883F30-745B-4296-B595-A0F3A099142B}" destId="{9E0F18FC-EABD-48FF-8D0D-C31F6A18FF2C}" srcOrd="1" destOrd="0" presId="urn:microsoft.com/office/officeart/2005/8/layout/process2"/>
    <dgm:cxn modelId="{F2B53883-6E94-456C-B9F0-8D5440F543F8}" type="presOf" srcId="{A7881428-9571-4CF7-8653-CA30A002DCF1}" destId="{F8C399CC-777D-41D3-B341-3E2CC8A20EB4}" srcOrd="0" destOrd="0" presId="urn:microsoft.com/office/officeart/2005/8/layout/process2"/>
    <dgm:cxn modelId="{293F1AAE-CB45-4BD6-A37D-51EA91EB346C}" type="presOf" srcId="{62139158-DE6C-49AE-AC1A-527BE4E1CF98}" destId="{78FDCDE7-6510-46F1-8C93-2DF73E33E1E2}" srcOrd="0" destOrd="0" presId="urn:microsoft.com/office/officeart/2005/8/layout/process2"/>
    <dgm:cxn modelId="{8537609E-CA3E-480C-B60F-25FDC00AA714}" type="presOf" srcId="{A388C1C6-870F-48BA-8531-08160CA675E1}" destId="{880C2636-229B-4287-AF2E-26070518DADA}" srcOrd="0" destOrd="0" presId="urn:microsoft.com/office/officeart/2005/8/layout/process2"/>
    <dgm:cxn modelId="{DE7FD8BD-D07E-4360-99F8-76F43FC0A483}" type="presOf" srcId="{32DF8B44-8348-44A1-9048-07C74393841F}" destId="{3E1EA1EC-82EF-4864-A8A9-6D9BA5665982}" srcOrd="1" destOrd="0" presId="urn:microsoft.com/office/officeart/2005/8/layout/process2"/>
    <dgm:cxn modelId="{71D131F4-14FC-4D87-91E4-EB9F3486AA71}" srcId="{AEBABF80-B9F1-4F67-884A-C4746E7DA81B}" destId="{00780911-4D8F-429A-B565-4582120E85FA}" srcOrd="1" destOrd="0" parTransId="{6B415693-F737-482E-BE17-C1177E521DDA}" sibTransId="{32DF8B44-8348-44A1-9048-07C74393841F}"/>
    <dgm:cxn modelId="{A33644C4-D71D-4DED-B67C-20B2991A0529}" srcId="{AEBABF80-B9F1-4F67-884A-C4746E7DA81B}" destId="{9E9DEC7B-2919-48D6-9B24-C6D9E1FC60CA}" srcOrd="5" destOrd="0" parTransId="{6B839E83-2A49-46B0-81D7-E08D7C1815FE}" sibTransId="{62139158-DE6C-49AE-AC1A-527BE4E1CF98}"/>
    <dgm:cxn modelId="{6293B6CE-A789-4CE4-BC38-E498AF8B17C1}" srcId="{AEBABF80-B9F1-4F67-884A-C4746E7DA81B}" destId="{BDBC78FD-EC4C-4938-AC3F-6D3396AC4631}" srcOrd="0" destOrd="0" parTransId="{27E964E2-B83A-4FD4-B7B4-6CA58D940DCF}" sibTransId="{2271A3E3-5D96-47F6-9187-AD3A41D996DF}"/>
    <dgm:cxn modelId="{A80A8D1A-7497-4480-B89B-EB73D5312581}" srcId="{AEBABF80-B9F1-4F67-884A-C4746E7DA81B}" destId="{56F67F6B-00DD-4077-91B1-3D75E27C12CA}" srcOrd="3" destOrd="0" parTransId="{5A0093C0-C377-4ABB-94EE-8D92CEC7CB3E}" sibTransId="{3C0B1684-DEEE-4EF0-9216-129559AA003C}"/>
    <dgm:cxn modelId="{DD3ECEEE-AC19-4E4C-9139-C9C55348D3D7}" type="presOf" srcId="{9E9DEC7B-2919-48D6-9B24-C6D9E1FC60CA}" destId="{1ED05DBD-C303-4E2E-8CF6-CD5FC3D31C89}" srcOrd="0" destOrd="0" presId="urn:microsoft.com/office/officeart/2005/8/layout/process2"/>
    <dgm:cxn modelId="{ED51E0E1-C132-4472-A2EF-7D8080E35C23}" type="presOf" srcId="{25FABDC0-BF07-4251-B98D-C86B0D56329C}" destId="{700F180E-3668-44FB-BD06-90214694DC32}" srcOrd="1" destOrd="0" presId="urn:microsoft.com/office/officeart/2005/8/layout/process2"/>
    <dgm:cxn modelId="{FCF92AF9-B08F-4318-994E-9059C35BD86E}" srcId="{AEBABF80-B9F1-4F67-884A-C4746E7DA81B}" destId="{A388C1C6-870F-48BA-8531-08160CA675E1}" srcOrd="7" destOrd="0" parTransId="{084CBEA8-17AE-4529-83C0-214FBC09C014}" sibTransId="{D0B2DF05-037F-434D-91D4-BDA5A0A287B4}"/>
    <dgm:cxn modelId="{056B1CB9-B056-41DB-94A3-9931109D0281}" type="presOf" srcId="{CE4B3915-B783-4D5C-A2D3-51A665D3966A}" destId="{3E239A54-2B16-4FF6-B616-4B62794DCDB6}" srcOrd="1" destOrd="0" presId="urn:microsoft.com/office/officeart/2005/8/layout/process2"/>
    <dgm:cxn modelId="{4416FF91-0A4C-4DB2-A5A7-27BA4567DFAA}" type="presOf" srcId="{62139158-DE6C-49AE-AC1A-527BE4E1CF98}" destId="{C8F3858D-A6A8-480F-9E7C-FAD217764E81}" srcOrd="1" destOrd="0" presId="urn:microsoft.com/office/officeart/2005/8/layout/process2"/>
    <dgm:cxn modelId="{CD073B4C-089E-46EF-9708-D15672504286}" type="presParOf" srcId="{9276720E-1881-45EC-9202-5412311CC449}" destId="{5A3D575E-907A-4622-8234-B4D1ACA64C1F}" srcOrd="0" destOrd="0" presId="urn:microsoft.com/office/officeart/2005/8/layout/process2"/>
    <dgm:cxn modelId="{9FC6F8DF-68D5-4EFE-86C2-FA3A33E8BA02}" type="presParOf" srcId="{9276720E-1881-45EC-9202-5412311CC449}" destId="{5290D09B-FED3-4B15-8353-55945EB6241C}" srcOrd="1" destOrd="0" presId="urn:microsoft.com/office/officeart/2005/8/layout/process2"/>
    <dgm:cxn modelId="{5D77A735-C995-442E-B14E-C3818DB95F66}" type="presParOf" srcId="{5290D09B-FED3-4B15-8353-55945EB6241C}" destId="{CAA7A0D8-CA4B-4FF5-A02B-17E3A386EC9C}" srcOrd="0" destOrd="0" presId="urn:microsoft.com/office/officeart/2005/8/layout/process2"/>
    <dgm:cxn modelId="{17B188F0-2206-48DB-AFB8-DF98D3399937}" type="presParOf" srcId="{9276720E-1881-45EC-9202-5412311CC449}" destId="{257F32EE-9718-4D26-B30D-F8EF3BB5728F}" srcOrd="2" destOrd="0" presId="urn:microsoft.com/office/officeart/2005/8/layout/process2"/>
    <dgm:cxn modelId="{842B9900-CF6C-4310-B45F-4F1FC8718AEF}" type="presParOf" srcId="{9276720E-1881-45EC-9202-5412311CC449}" destId="{FE20DB7D-9006-4E23-8A66-43F1F0F25A3B}" srcOrd="3" destOrd="0" presId="urn:microsoft.com/office/officeart/2005/8/layout/process2"/>
    <dgm:cxn modelId="{065AE9DA-10F3-4694-8BC0-03962826502C}" type="presParOf" srcId="{FE20DB7D-9006-4E23-8A66-43F1F0F25A3B}" destId="{3E1EA1EC-82EF-4864-A8A9-6D9BA5665982}" srcOrd="0" destOrd="0" presId="urn:microsoft.com/office/officeart/2005/8/layout/process2"/>
    <dgm:cxn modelId="{C51926DF-907E-4E80-A6BF-038D8E3E76D3}" type="presParOf" srcId="{9276720E-1881-45EC-9202-5412311CC449}" destId="{1E33F0E3-84DD-4964-9D37-EBD68A68DC63}" srcOrd="4" destOrd="0" presId="urn:microsoft.com/office/officeart/2005/8/layout/process2"/>
    <dgm:cxn modelId="{2DE33AF1-985A-4EB8-B65D-6C671AF9D21F}" type="presParOf" srcId="{9276720E-1881-45EC-9202-5412311CC449}" destId="{7668F997-2303-4660-81BA-0DDDC498D44C}" srcOrd="5" destOrd="0" presId="urn:microsoft.com/office/officeart/2005/8/layout/process2"/>
    <dgm:cxn modelId="{CF26E7D9-2F6E-4A67-BF1C-18DA023B1B72}" type="presParOf" srcId="{7668F997-2303-4660-81BA-0DDDC498D44C}" destId="{3E239A54-2B16-4FF6-B616-4B62794DCDB6}" srcOrd="0" destOrd="0" presId="urn:microsoft.com/office/officeart/2005/8/layout/process2"/>
    <dgm:cxn modelId="{AAA73657-6DC2-464F-9137-448565B9D124}" type="presParOf" srcId="{9276720E-1881-45EC-9202-5412311CC449}" destId="{C1195AFA-0091-4E30-8C17-A1472E73331C}" srcOrd="6" destOrd="0" presId="urn:microsoft.com/office/officeart/2005/8/layout/process2"/>
    <dgm:cxn modelId="{41FA60C6-A443-46C2-B31B-30940C0E3FC0}" type="presParOf" srcId="{9276720E-1881-45EC-9202-5412311CC449}" destId="{FF3CA050-A0AC-486F-BA95-3C9B5F1AA9EC}" srcOrd="7" destOrd="0" presId="urn:microsoft.com/office/officeart/2005/8/layout/process2"/>
    <dgm:cxn modelId="{1B5127F4-32EC-4312-8D3C-17BC0B146AD1}" type="presParOf" srcId="{FF3CA050-A0AC-486F-BA95-3C9B5F1AA9EC}" destId="{0FD65583-18DC-4D02-81C8-0CB3D66E1276}" srcOrd="0" destOrd="0" presId="urn:microsoft.com/office/officeart/2005/8/layout/process2"/>
    <dgm:cxn modelId="{B9E23980-843B-449D-BAA3-10E77C6160EE}" type="presParOf" srcId="{9276720E-1881-45EC-9202-5412311CC449}" destId="{FE2D4ADE-1DEA-40DD-84BB-434B3671CED0}" srcOrd="8" destOrd="0" presId="urn:microsoft.com/office/officeart/2005/8/layout/process2"/>
    <dgm:cxn modelId="{BD74C5CD-B506-4CA3-82BE-3E2B04A52F1B}" type="presParOf" srcId="{9276720E-1881-45EC-9202-5412311CC449}" destId="{FFB88967-E84E-438A-AF1A-A3CA0A9C109A}" srcOrd="9" destOrd="0" presId="urn:microsoft.com/office/officeart/2005/8/layout/process2"/>
    <dgm:cxn modelId="{FA85A9FF-967F-44E2-AC51-E2713AF8F232}" type="presParOf" srcId="{FFB88967-E84E-438A-AF1A-A3CA0A9C109A}" destId="{31F5D2F3-0418-4725-B545-EE4697F216B0}" srcOrd="0" destOrd="0" presId="urn:microsoft.com/office/officeart/2005/8/layout/process2"/>
    <dgm:cxn modelId="{0785674F-1B80-4A78-9326-A506378FE7D0}" type="presParOf" srcId="{9276720E-1881-45EC-9202-5412311CC449}" destId="{1ED05DBD-C303-4E2E-8CF6-CD5FC3D31C89}" srcOrd="10" destOrd="0" presId="urn:microsoft.com/office/officeart/2005/8/layout/process2"/>
    <dgm:cxn modelId="{94D4162E-3B17-4D82-8DA6-5E905D1B233C}" type="presParOf" srcId="{9276720E-1881-45EC-9202-5412311CC449}" destId="{78FDCDE7-6510-46F1-8C93-2DF73E33E1E2}" srcOrd="11" destOrd="0" presId="urn:microsoft.com/office/officeart/2005/8/layout/process2"/>
    <dgm:cxn modelId="{C466C06D-E4DF-485C-9E5B-348D625986A5}" type="presParOf" srcId="{78FDCDE7-6510-46F1-8C93-2DF73E33E1E2}" destId="{C8F3858D-A6A8-480F-9E7C-FAD217764E81}" srcOrd="0" destOrd="0" presId="urn:microsoft.com/office/officeart/2005/8/layout/process2"/>
    <dgm:cxn modelId="{35053E9D-5436-4A79-8328-04D50EB139A2}" type="presParOf" srcId="{9276720E-1881-45EC-9202-5412311CC449}" destId="{392B5DF5-AD78-4540-A107-045DE8799328}" srcOrd="12" destOrd="0" presId="urn:microsoft.com/office/officeart/2005/8/layout/process2"/>
    <dgm:cxn modelId="{F0538D48-36E6-400A-957A-18894C458EBE}" type="presParOf" srcId="{9276720E-1881-45EC-9202-5412311CC449}" destId="{AD9F850D-50C9-4553-84BF-3344AF5DEBAA}" srcOrd="13" destOrd="0" presId="urn:microsoft.com/office/officeart/2005/8/layout/process2"/>
    <dgm:cxn modelId="{AC2B7D44-4411-4D77-A333-13E6AF7E15C3}" type="presParOf" srcId="{AD9F850D-50C9-4553-84BF-3344AF5DEBAA}" destId="{9E0F18FC-EABD-48FF-8D0D-C31F6A18FF2C}" srcOrd="0" destOrd="0" presId="urn:microsoft.com/office/officeart/2005/8/layout/process2"/>
    <dgm:cxn modelId="{A1BA30B5-36A2-47EF-93FC-EA7048B94497}" type="presParOf" srcId="{9276720E-1881-45EC-9202-5412311CC449}" destId="{880C2636-229B-4287-AF2E-26070518DADA}" srcOrd="14" destOrd="0" presId="urn:microsoft.com/office/officeart/2005/8/layout/process2"/>
    <dgm:cxn modelId="{A7E5BAB8-4680-434F-B6F0-4C441CC8A397}" type="presParOf" srcId="{9276720E-1881-45EC-9202-5412311CC449}" destId="{02509102-A5EF-4149-852A-65FD3F0516BA}" srcOrd="15" destOrd="0" presId="urn:microsoft.com/office/officeart/2005/8/layout/process2"/>
    <dgm:cxn modelId="{76321E78-2D3B-47A1-A00C-1EDDA5A550E9}" type="presParOf" srcId="{02509102-A5EF-4149-852A-65FD3F0516BA}" destId="{D7D87328-5B4E-4DD3-9DB0-B97369C4C615}" srcOrd="0" destOrd="0" presId="urn:microsoft.com/office/officeart/2005/8/layout/process2"/>
    <dgm:cxn modelId="{E2E64F18-2FAD-4CE6-93D4-3325984211F0}" type="presParOf" srcId="{9276720E-1881-45EC-9202-5412311CC449}" destId="{F8C399CC-777D-41D3-B341-3E2CC8A20EB4}" srcOrd="16" destOrd="0" presId="urn:microsoft.com/office/officeart/2005/8/layout/process2"/>
    <dgm:cxn modelId="{81A6F1DB-6C60-48F9-8093-33F64952D390}" type="presParOf" srcId="{9276720E-1881-45EC-9202-5412311CC449}" destId="{10F7ACC7-8A33-48BE-878A-119BE9E03563}" srcOrd="17" destOrd="0" presId="urn:microsoft.com/office/officeart/2005/8/layout/process2"/>
    <dgm:cxn modelId="{9A193C79-FF87-4CCF-A926-A861CE91DBD3}" type="presParOf" srcId="{10F7ACC7-8A33-48BE-878A-119BE9E03563}" destId="{700F180E-3668-44FB-BD06-90214694DC32}" srcOrd="0" destOrd="0" presId="urn:microsoft.com/office/officeart/2005/8/layout/process2"/>
    <dgm:cxn modelId="{CF653D83-6DCB-42F4-A646-B5FADD4FCE7D}" type="presParOf" srcId="{9276720E-1881-45EC-9202-5412311CC449}" destId="{B6C30858-CF0F-4C57-B76B-C41D7D2FD33E}" srcOrd="18" destOrd="0" presId="urn:microsoft.com/office/officeart/2005/8/layout/process2"/>
    <dgm:cxn modelId="{12DF475D-406D-462F-AB60-55751D7C675B}" type="presParOf" srcId="{9276720E-1881-45EC-9202-5412311CC449}" destId="{B1869D98-F777-4E6D-A6F5-110A454037BD}" srcOrd="19" destOrd="0" presId="urn:microsoft.com/office/officeart/2005/8/layout/process2"/>
    <dgm:cxn modelId="{5029C106-06C5-4613-BA1E-EDD816AEB523}" type="presParOf" srcId="{B1869D98-F777-4E6D-A6F5-110A454037BD}" destId="{E1EA52E5-E6A4-4C40-B7A2-A965B8E44D80}" srcOrd="0" destOrd="0" presId="urn:microsoft.com/office/officeart/2005/8/layout/process2"/>
    <dgm:cxn modelId="{9736E1AC-4BBC-4739-8406-B0BDEABA5CB4}" type="presParOf" srcId="{9276720E-1881-45EC-9202-5412311CC449}" destId="{461773EB-9760-44C4-AEB8-6E4DA4A2EFA2}" srcOrd="20" destOrd="0" presId="urn:microsoft.com/office/officeart/2005/8/layout/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3D575E-907A-4622-8234-B4D1ACA64C1F}">
      <dsp:nvSpPr>
        <dsp:cNvPr id="0" name=""/>
        <dsp:cNvSpPr/>
      </dsp:nvSpPr>
      <dsp:spPr>
        <a:xfrm>
          <a:off x="1810820" y="636"/>
          <a:ext cx="2662374" cy="487434"/>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קריסת אנרון -2001</a:t>
          </a:r>
        </a:p>
      </dsp:txBody>
      <dsp:txXfrm>
        <a:off x="1825096" y="14912"/>
        <a:ext cx="2633822" cy="458882"/>
      </dsp:txXfrm>
    </dsp:sp>
    <dsp:sp modelId="{5290D09B-FED3-4B15-8353-55945EB6241C}">
      <dsp:nvSpPr>
        <dsp:cNvPr id="0" name=""/>
        <dsp:cNvSpPr/>
      </dsp:nvSpPr>
      <dsp:spPr>
        <a:xfrm rot="5400000">
          <a:off x="2983907" y="495155"/>
          <a:ext cx="316199" cy="200922"/>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rtl="1">
            <a:lnSpc>
              <a:spcPct val="90000"/>
            </a:lnSpc>
            <a:spcBef>
              <a:spcPct val="0"/>
            </a:spcBef>
            <a:spcAft>
              <a:spcPct val="35000"/>
            </a:spcAft>
          </a:pPr>
          <a:endParaRPr lang="he-IL" sz="800" kern="1200">
            <a:latin typeface="David" panose="020E0502060401010101" pitchFamily="34" charset="-79"/>
            <a:cs typeface="David" panose="020E0502060401010101" pitchFamily="34" charset="-79"/>
          </a:endParaRPr>
        </a:p>
      </dsp:txBody>
      <dsp:txXfrm rot="-5400000">
        <a:off x="3081730" y="437517"/>
        <a:ext cx="120554" cy="255922"/>
      </dsp:txXfrm>
    </dsp:sp>
    <dsp:sp modelId="{257F32EE-9718-4D26-B30D-F8EF3BB5728F}">
      <dsp:nvSpPr>
        <dsp:cNvPr id="0" name=""/>
        <dsp:cNvSpPr/>
      </dsp:nvSpPr>
      <dsp:spPr>
        <a:xfrm>
          <a:off x="1810820" y="703161"/>
          <a:ext cx="2662374" cy="487434"/>
        </a:xfrm>
        <a:prstGeom prst="roundRect">
          <a:avLst>
            <a:gd name="adj" fmla="val 10000"/>
          </a:avLst>
        </a:prstGeom>
        <a:solidFill>
          <a:schemeClr val="accent4">
            <a:hueOff val="1039569"/>
            <a:satOff val="-4797"/>
            <a:lumOff val="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הקמת </a:t>
          </a:r>
          <a:r>
            <a:rPr lang="en-US" sz="1000" kern="1200">
              <a:latin typeface="David" panose="020E0502060401010101" pitchFamily="34" charset="-79"/>
              <a:cs typeface="David" panose="020E0502060401010101" pitchFamily="34" charset="-79"/>
            </a:rPr>
            <a:t>PCAOB</a:t>
          </a:r>
          <a:r>
            <a:rPr lang="he-IL" sz="1000" kern="1200">
              <a:latin typeface="David" panose="020E0502060401010101" pitchFamily="34" charset="-79"/>
              <a:cs typeface="David" panose="020E0502060401010101" pitchFamily="34" charset="-79"/>
            </a:rPr>
            <a:t> - סמכויות פיקוח ל-</a:t>
          </a:r>
          <a:r>
            <a:rPr lang="en-US" sz="1000" kern="1200">
              <a:latin typeface="David" panose="020E0502060401010101" pitchFamily="34" charset="-79"/>
              <a:cs typeface="David" panose="020E0502060401010101" pitchFamily="34" charset="-79"/>
            </a:rPr>
            <a:t>SEC</a:t>
          </a:r>
          <a:r>
            <a:rPr lang="he-IL" sz="1000" kern="1200">
              <a:latin typeface="David" panose="020E0502060401010101" pitchFamily="34" charset="-79"/>
              <a:cs typeface="David" panose="020E0502060401010101" pitchFamily="34" charset="-79"/>
            </a:rPr>
            <a:t> - 2002</a:t>
          </a:r>
        </a:p>
      </dsp:txBody>
      <dsp:txXfrm>
        <a:off x="1825096" y="717437"/>
        <a:ext cx="2633822" cy="458882"/>
      </dsp:txXfrm>
    </dsp:sp>
    <dsp:sp modelId="{FE20DB7D-9006-4E23-8A66-43F1F0F25A3B}">
      <dsp:nvSpPr>
        <dsp:cNvPr id="0" name=""/>
        <dsp:cNvSpPr/>
      </dsp:nvSpPr>
      <dsp:spPr>
        <a:xfrm rot="5400000">
          <a:off x="2983907" y="1197679"/>
          <a:ext cx="316199" cy="200922"/>
        </a:xfrm>
        <a:prstGeom prst="rightArrow">
          <a:avLst>
            <a:gd name="adj1" fmla="val 60000"/>
            <a:gd name="adj2" fmla="val 50000"/>
          </a:avLst>
        </a:prstGeom>
        <a:solidFill>
          <a:schemeClr val="accent4">
            <a:hueOff val="1155077"/>
            <a:satOff val="-5330"/>
            <a:lumOff val="19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rtl="1">
            <a:lnSpc>
              <a:spcPct val="90000"/>
            </a:lnSpc>
            <a:spcBef>
              <a:spcPct val="0"/>
            </a:spcBef>
            <a:spcAft>
              <a:spcPct val="35000"/>
            </a:spcAft>
          </a:pPr>
          <a:endParaRPr lang="he-IL" sz="800" kern="1200">
            <a:latin typeface="David" panose="020E0502060401010101" pitchFamily="34" charset="-79"/>
            <a:cs typeface="David" panose="020E0502060401010101" pitchFamily="34" charset="-79"/>
          </a:endParaRPr>
        </a:p>
      </dsp:txBody>
      <dsp:txXfrm rot="-5400000">
        <a:off x="3081730" y="1140041"/>
        <a:ext cx="120554" cy="255922"/>
      </dsp:txXfrm>
    </dsp:sp>
    <dsp:sp modelId="{1E33F0E3-84DD-4964-9D37-EBD68A68DC63}">
      <dsp:nvSpPr>
        <dsp:cNvPr id="0" name=""/>
        <dsp:cNvSpPr/>
      </dsp:nvSpPr>
      <dsp:spPr>
        <a:xfrm>
          <a:off x="1810820" y="1405686"/>
          <a:ext cx="2662374" cy="487434"/>
        </a:xfrm>
        <a:prstGeom prst="roundRect">
          <a:avLst>
            <a:gd name="adj" fmla="val 10000"/>
          </a:avLst>
        </a:prstGeom>
        <a:solidFill>
          <a:schemeClr val="accent4">
            <a:hueOff val="2079139"/>
            <a:satOff val="-9594"/>
            <a:lumOff val="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הקמת המוסד לסקר עמיתים -2004</a:t>
          </a:r>
        </a:p>
      </dsp:txBody>
      <dsp:txXfrm>
        <a:off x="1825096" y="1419962"/>
        <a:ext cx="2633822" cy="458882"/>
      </dsp:txXfrm>
    </dsp:sp>
    <dsp:sp modelId="{7668F997-2303-4660-81BA-0DDDC498D44C}">
      <dsp:nvSpPr>
        <dsp:cNvPr id="0" name=""/>
        <dsp:cNvSpPr/>
      </dsp:nvSpPr>
      <dsp:spPr>
        <a:xfrm rot="5400000">
          <a:off x="2983907" y="1900204"/>
          <a:ext cx="316199" cy="200922"/>
        </a:xfrm>
        <a:prstGeom prst="rightArrow">
          <a:avLst>
            <a:gd name="adj1" fmla="val 60000"/>
            <a:gd name="adj2" fmla="val 50000"/>
          </a:avLst>
        </a:prstGeom>
        <a:solidFill>
          <a:schemeClr val="accent4">
            <a:hueOff val="2310154"/>
            <a:satOff val="-10660"/>
            <a:lumOff val="392"/>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rtl="1">
            <a:lnSpc>
              <a:spcPct val="90000"/>
            </a:lnSpc>
            <a:spcBef>
              <a:spcPct val="0"/>
            </a:spcBef>
            <a:spcAft>
              <a:spcPct val="35000"/>
            </a:spcAft>
          </a:pPr>
          <a:endParaRPr lang="he-IL" sz="800" kern="1200">
            <a:latin typeface="David" panose="020E0502060401010101" pitchFamily="34" charset="-79"/>
            <a:cs typeface="David" panose="020E0502060401010101" pitchFamily="34" charset="-79"/>
          </a:endParaRPr>
        </a:p>
      </dsp:txBody>
      <dsp:txXfrm rot="-5400000">
        <a:off x="3081730" y="1842566"/>
        <a:ext cx="120554" cy="255922"/>
      </dsp:txXfrm>
    </dsp:sp>
    <dsp:sp modelId="{C1195AFA-0091-4E30-8C17-A1472E73331C}">
      <dsp:nvSpPr>
        <dsp:cNvPr id="0" name=""/>
        <dsp:cNvSpPr/>
      </dsp:nvSpPr>
      <dsp:spPr>
        <a:xfrm>
          <a:off x="1810820" y="2108211"/>
          <a:ext cx="2662374" cy="487434"/>
        </a:xfrm>
        <a:prstGeom prst="roundRect">
          <a:avLst>
            <a:gd name="adj" fmla="val 10000"/>
          </a:avLst>
        </a:prstGeom>
        <a:solidFill>
          <a:schemeClr val="accent4">
            <a:hueOff val="3118708"/>
            <a:satOff val="-14390"/>
            <a:lumOff val="53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פרסום המצלת ועדת גושן - 2006</a:t>
          </a:r>
        </a:p>
      </dsp:txBody>
      <dsp:txXfrm>
        <a:off x="1825096" y="2122487"/>
        <a:ext cx="2633822" cy="458882"/>
      </dsp:txXfrm>
    </dsp:sp>
    <dsp:sp modelId="{FF3CA050-A0AC-486F-BA95-3C9B5F1AA9EC}">
      <dsp:nvSpPr>
        <dsp:cNvPr id="0" name=""/>
        <dsp:cNvSpPr/>
      </dsp:nvSpPr>
      <dsp:spPr>
        <a:xfrm rot="5400000">
          <a:off x="2983907" y="2602729"/>
          <a:ext cx="316199" cy="200922"/>
        </a:xfrm>
        <a:prstGeom prst="rightArrow">
          <a:avLst>
            <a:gd name="adj1" fmla="val 60000"/>
            <a:gd name="adj2" fmla="val 50000"/>
          </a:avLst>
        </a:prstGeom>
        <a:solidFill>
          <a:schemeClr val="accent4">
            <a:hueOff val="3465231"/>
            <a:satOff val="-15989"/>
            <a:lumOff val="58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rtl="1">
            <a:lnSpc>
              <a:spcPct val="90000"/>
            </a:lnSpc>
            <a:spcBef>
              <a:spcPct val="0"/>
            </a:spcBef>
            <a:spcAft>
              <a:spcPct val="35000"/>
            </a:spcAft>
          </a:pPr>
          <a:endParaRPr lang="he-IL" sz="800" kern="1200">
            <a:latin typeface="David" panose="020E0502060401010101" pitchFamily="34" charset="-79"/>
            <a:cs typeface="David" panose="020E0502060401010101" pitchFamily="34" charset="-79"/>
          </a:endParaRPr>
        </a:p>
      </dsp:txBody>
      <dsp:txXfrm rot="-5400000">
        <a:off x="3081730" y="2545091"/>
        <a:ext cx="120554" cy="255922"/>
      </dsp:txXfrm>
    </dsp:sp>
    <dsp:sp modelId="{FE2D4ADE-1DEA-40DD-84BB-434B3671CED0}">
      <dsp:nvSpPr>
        <dsp:cNvPr id="0" name=""/>
        <dsp:cNvSpPr/>
      </dsp:nvSpPr>
      <dsp:spPr>
        <a:xfrm>
          <a:off x="1810820" y="2810735"/>
          <a:ext cx="2662374" cy="487434"/>
        </a:xfrm>
        <a:prstGeom prst="roundRect">
          <a:avLst>
            <a:gd name="adj" fmla="val 10000"/>
          </a:avLst>
        </a:prstGeom>
        <a:solidFill>
          <a:schemeClr val="accent4">
            <a:hueOff val="4158277"/>
            <a:satOff val="-19187"/>
            <a:lumOff val="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החלת ה-</a:t>
          </a:r>
          <a:r>
            <a:rPr lang="en-US" sz="1000" kern="1200">
              <a:latin typeface="David" panose="020E0502060401010101" pitchFamily="34" charset="-79"/>
              <a:cs typeface="David" panose="020E0502060401010101" pitchFamily="34" charset="-79"/>
            </a:rPr>
            <a:t>SOX</a:t>
          </a:r>
          <a:r>
            <a:rPr lang="he-IL" sz="1000" kern="1200">
              <a:latin typeface="David" panose="020E0502060401010101" pitchFamily="34" charset="-79"/>
              <a:cs typeface="David" panose="020E0502060401010101" pitchFamily="34" charset="-79"/>
            </a:rPr>
            <a:t> המלא על בנקיםם חברות ביטוח וחברות ממשלתיות מסויימות - 2005-2008</a:t>
          </a:r>
        </a:p>
      </dsp:txBody>
      <dsp:txXfrm>
        <a:off x="1825096" y="2825011"/>
        <a:ext cx="2633822" cy="458882"/>
      </dsp:txXfrm>
    </dsp:sp>
    <dsp:sp modelId="{FFB88967-E84E-438A-AF1A-A3CA0A9C109A}">
      <dsp:nvSpPr>
        <dsp:cNvPr id="0" name=""/>
        <dsp:cNvSpPr/>
      </dsp:nvSpPr>
      <dsp:spPr>
        <a:xfrm rot="5400000">
          <a:off x="2983907" y="3305254"/>
          <a:ext cx="316199" cy="200922"/>
        </a:xfrm>
        <a:prstGeom prst="rightArrow">
          <a:avLst>
            <a:gd name="adj1" fmla="val 60000"/>
            <a:gd name="adj2" fmla="val 50000"/>
          </a:avLst>
        </a:prstGeom>
        <a:solidFill>
          <a:schemeClr val="accent4">
            <a:hueOff val="4620308"/>
            <a:satOff val="-21319"/>
            <a:lumOff val="78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rtl="1">
            <a:lnSpc>
              <a:spcPct val="90000"/>
            </a:lnSpc>
            <a:spcBef>
              <a:spcPct val="0"/>
            </a:spcBef>
            <a:spcAft>
              <a:spcPct val="35000"/>
            </a:spcAft>
          </a:pPr>
          <a:endParaRPr lang="he-IL" sz="800" kern="1200">
            <a:latin typeface="David" panose="020E0502060401010101" pitchFamily="34" charset="-79"/>
            <a:cs typeface="David" panose="020E0502060401010101" pitchFamily="34" charset="-79"/>
          </a:endParaRPr>
        </a:p>
      </dsp:txBody>
      <dsp:txXfrm rot="-5400000">
        <a:off x="3081730" y="3247616"/>
        <a:ext cx="120554" cy="255922"/>
      </dsp:txXfrm>
    </dsp:sp>
    <dsp:sp modelId="{1ED05DBD-C303-4E2E-8CF6-CD5FC3D31C89}">
      <dsp:nvSpPr>
        <dsp:cNvPr id="0" name=""/>
        <dsp:cNvSpPr/>
      </dsp:nvSpPr>
      <dsp:spPr>
        <a:xfrm>
          <a:off x="1810820" y="3513260"/>
          <a:ext cx="2662374" cy="487434"/>
        </a:xfrm>
        <a:prstGeom prst="roundRect">
          <a:avLst>
            <a:gd name="adj" fmla="val 10000"/>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תיקון תקנות ני"ע (דו"חות תקופתייים ומיידיים) ותיקון על חוק החברות - 2009</a:t>
          </a:r>
        </a:p>
      </dsp:txBody>
      <dsp:txXfrm>
        <a:off x="1825096" y="3527536"/>
        <a:ext cx="2633822" cy="458882"/>
      </dsp:txXfrm>
    </dsp:sp>
    <dsp:sp modelId="{78FDCDE7-6510-46F1-8C93-2DF73E33E1E2}">
      <dsp:nvSpPr>
        <dsp:cNvPr id="0" name=""/>
        <dsp:cNvSpPr/>
      </dsp:nvSpPr>
      <dsp:spPr>
        <a:xfrm rot="5400000">
          <a:off x="2983907" y="4007778"/>
          <a:ext cx="316199" cy="200922"/>
        </a:xfrm>
        <a:prstGeom prst="rightArrow">
          <a:avLst>
            <a:gd name="adj1" fmla="val 60000"/>
            <a:gd name="adj2" fmla="val 50000"/>
          </a:avLst>
        </a:prstGeom>
        <a:solidFill>
          <a:schemeClr val="accent4">
            <a:hueOff val="5775385"/>
            <a:satOff val="-26649"/>
            <a:lumOff val="981"/>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rtl="1">
            <a:lnSpc>
              <a:spcPct val="90000"/>
            </a:lnSpc>
            <a:spcBef>
              <a:spcPct val="0"/>
            </a:spcBef>
            <a:spcAft>
              <a:spcPct val="35000"/>
            </a:spcAft>
          </a:pPr>
          <a:endParaRPr lang="he-IL" sz="800" kern="1200">
            <a:latin typeface="David" panose="020E0502060401010101" pitchFamily="34" charset="-79"/>
            <a:cs typeface="David" panose="020E0502060401010101" pitchFamily="34" charset="-79"/>
          </a:endParaRPr>
        </a:p>
      </dsp:txBody>
      <dsp:txXfrm rot="-5400000">
        <a:off x="3081730" y="3950140"/>
        <a:ext cx="120554" cy="255922"/>
      </dsp:txXfrm>
    </dsp:sp>
    <dsp:sp modelId="{392B5DF5-AD78-4540-A107-045DE8799328}">
      <dsp:nvSpPr>
        <dsp:cNvPr id="0" name=""/>
        <dsp:cNvSpPr/>
      </dsp:nvSpPr>
      <dsp:spPr>
        <a:xfrm>
          <a:off x="1810820" y="4215785"/>
          <a:ext cx="2662374" cy="487434"/>
        </a:xfrm>
        <a:prstGeom prst="roundRect">
          <a:avLst>
            <a:gd name="adj" fmla="val 10000"/>
          </a:avLst>
        </a:prstGeom>
        <a:solidFill>
          <a:schemeClr val="accent4">
            <a:hueOff val="6237415"/>
            <a:satOff val="-28781"/>
            <a:lumOff val="105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נייר עמדה 199-9 של הרשות לני"ע - "כך עושים </a:t>
          </a:r>
          <a:r>
            <a:rPr lang="en-US" sz="1000" kern="1200">
              <a:latin typeface="David" panose="020E0502060401010101" pitchFamily="34" charset="-79"/>
              <a:cs typeface="David" panose="020E0502060401010101" pitchFamily="34" charset="-79"/>
            </a:rPr>
            <a:t>ISOX</a:t>
          </a:r>
          <a:r>
            <a:rPr lang="he-IL" sz="1000" kern="1200">
              <a:latin typeface="David" panose="020E0502060401010101" pitchFamily="34" charset="-79"/>
              <a:cs typeface="David" panose="020E0502060401010101" pitchFamily="34" charset="-79"/>
            </a:rPr>
            <a:t>"</a:t>
          </a:r>
          <a:r>
            <a:rPr lang="en-US" sz="1000" kern="1200">
              <a:latin typeface="David" panose="020E0502060401010101" pitchFamily="34" charset="-79"/>
              <a:cs typeface="David" panose="020E0502060401010101" pitchFamily="34" charset="-79"/>
            </a:rPr>
            <a:t> </a:t>
          </a:r>
          <a:r>
            <a:rPr lang="he-IL" sz="1000" kern="1200">
              <a:latin typeface="David" panose="020E0502060401010101" pitchFamily="34" charset="-79"/>
              <a:cs typeface="David" panose="020E0502060401010101" pitchFamily="34" charset="-79"/>
            </a:rPr>
            <a:t>- 23/11/10</a:t>
          </a:r>
        </a:p>
      </dsp:txBody>
      <dsp:txXfrm>
        <a:off x="1825096" y="4230061"/>
        <a:ext cx="2633822" cy="458882"/>
      </dsp:txXfrm>
    </dsp:sp>
    <dsp:sp modelId="{AD9F850D-50C9-4553-84BF-3344AF5DEBAA}">
      <dsp:nvSpPr>
        <dsp:cNvPr id="0" name=""/>
        <dsp:cNvSpPr/>
      </dsp:nvSpPr>
      <dsp:spPr>
        <a:xfrm rot="5400000">
          <a:off x="2983907" y="4710303"/>
          <a:ext cx="316199" cy="200922"/>
        </a:xfrm>
        <a:prstGeom prst="rightArrow">
          <a:avLst>
            <a:gd name="adj1" fmla="val 60000"/>
            <a:gd name="adj2" fmla="val 50000"/>
          </a:avLst>
        </a:prstGeom>
        <a:solidFill>
          <a:schemeClr val="accent4">
            <a:hueOff val="6930461"/>
            <a:satOff val="-31979"/>
            <a:lumOff val="117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rtl="1">
            <a:lnSpc>
              <a:spcPct val="90000"/>
            </a:lnSpc>
            <a:spcBef>
              <a:spcPct val="0"/>
            </a:spcBef>
            <a:spcAft>
              <a:spcPct val="35000"/>
            </a:spcAft>
          </a:pPr>
          <a:endParaRPr lang="he-IL" sz="800" kern="1200">
            <a:latin typeface="David" panose="020E0502060401010101" pitchFamily="34" charset="-79"/>
            <a:cs typeface="David" panose="020E0502060401010101" pitchFamily="34" charset="-79"/>
          </a:endParaRPr>
        </a:p>
      </dsp:txBody>
      <dsp:txXfrm rot="-5400000">
        <a:off x="3081730" y="4652665"/>
        <a:ext cx="120554" cy="255922"/>
      </dsp:txXfrm>
    </dsp:sp>
    <dsp:sp modelId="{880C2636-229B-4287-AF2E-26070518DADA}">
      <dsp:nvSpPr>
        <dsp:cNvPr id="0" name=""/>
        <dsp:cNvSpPr/>
      </dsp:nvSpPr>
      <dsp:spPr>
        <a:xfrm>
          <a:off x="1810820" y="4918309"/>
          <a:ext cx="2662374" cy="487434"/>
        </a:xfrm>
        <a:prstGeom prst="roundRect">
          <a:avLst>
            <a:gd name="adj" fmla="val 10000"/>
          </a:avLst>
        </a:prstGeom>
        <a:solidFill>
          <a:schemeClr val="accent4">
            <a:hueOff val="7276984"/>
            <a:satOff val="-33578"/>
            <a:lumOff val="123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ביקורת אפקטיבית , רכיבי הבקרה הפנימית - </a:t>
          </a:r>
          <a:r>
            <a:rPr lang="en-US" sz="1000" kern="1200">
              <a:latin typeface="David" panose="020E0502060401010101" pitchFamily="34" charset="-79"/>
              <a:cs typeface="David" panose="020E0502060401010101" pitchFamily="34" charset="-79"/>
            </a:rPr>
            <a:t>ISOX</a:t>
          </a:r>
          <a:r>
            <a:rPr lang="he-IL" sz="1000" kern="1200">
              <a:latin typeface="David" panose="020E0502060401010101" pitchFamily="34" charset="-79"/>
              <a:cs typeface="David" panose="020E0502060401010101" pitchFamily="34" charset="-79"/>
            </a:rPr>
            <a:t> מ-2010</a:t>
          </a:r>
        </a:p>
      </dsp:txBody>
      <dsp:txXfrm>
        <a:off x="1825096" y="4932585"/>
        <a:ext cx="2633822" cy="458882"/>
      </dsp:txXfrm>
    </dsp:sp>
    <dsp:sp modelId="{02509102-A5EF-4149-852A-65FD3F0516BA}">
      <dsp:nvSpPr>
        <dsp:cNvPr id="0" name=""/>
        <dsp:cNvSpPr/>
      </dsp:nvSpPr>
      <dsp:spPr>
        <a:xfrm rot="5400000">
          <a:off x="2983907" y="5412828"/>
          <a:ext cx="316199" cy="200922"/>
        </a:xfrm>
        <a:prstGeom prst="rightArrow">
          <a:avLst>
            <a:gd name="adj1" fmla="val 60000"/>
            <a:gd name="adj2" fmla="val 50000"/>
          </a:avLst>
        </a:prstGeom>
        <a:solidFill>
          <a:schemeClr val="accent4">
            <a:hueOff val="8085538"/>
            <a:satOff val="-37308"/>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rtl="1">
            <a:lnSpc>
              <a:spcPct val="90000"/>
            </a:lnSpc>
            <a:spcBef>
              <a:spcPct val="0"/>
            </a:spcBef>
            <a:spcAft>
              <a:spcPct val="35000"/>
            </a:spcAft>
          </a:pPr>
          <a:endParaRPr lang="he-IL" sz="800" kern="1200">
            <a:latin typeface="David" panose="020E0502060401010101" pitchFamily="34" charset="-79"/>
            <a:cs typeface="David" panose="020E0502060401010101" pitchFamily="34" charset="-79"/>
          </a:endParaRPr>
        </a:p>
      </dsp:txBody>
      <dsp:txXfrm rot="-5400000">
        <a:off x="3081730" y="5355190"/>
        <a:ext cx="120554" cy="255922"/>
      </dsp:txXfrm>
    </dsp:sp>
    <dsp:sp modelId="{F8C399CC-777D-41D3-B341-3E2CC8A20EB4}">
      <dsp:nvSpPr>
        <dsp:cNvPr id="0" name=""/>
        <dsp:cNvSpPr/>
      </dsp:nvSpPr>
      <dsp:spPr>
        <a:xfrm>
          <a:off x="1810820" y="5620834"/>
          <a:ext cx="2662374" cy="487434"/>
        </a:xfrm>
        <a:prstGeom prst="roundRect">
          <a:avLst>
            <a:gd name="adj" fmla="val 10000"/>
          </a:avLst>
        </a:prstGeom>
        <a:solidFill>
          <a:schemeClr val="accent4">
            <a:hueOff val="8316554"/>
            <a:satOff val="-38374"/>
            <a:lumOff val="141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נקבעו תקני ביקורת 103 (</a:t>
          </a:r>
          <a:r>
            <a:rPr lang="en-US" sz="1000" kern="1200">
              <a:latin typeface="David" panose="020E0502060401010101" pitchFamily="34" charset="-79"/>
              <a:cs typeface="David" panose="020E0502060401010101" pitchFamily="34" charset="-79"/>
            </a:rPr>
            <a:t>SOX</a:t>
          </a:r>
          <a:r>
            <a:rPr lang="he-IL" sz="1000" kern="1200">
              <a:latin typeface="David" panose="020E0502060401010101" pitchFamily="34" charset="-79"/>
              <a:cs typeface="David" panose="020E0502060401010101" pitchFamily="34" charset="-79"/>
            </a:rPr>
            <a:t>) ו-104</a:t>
          </a:r>
          <a:r>
            <a:rPr lang="en-US" sz="1000" kern="1200">
              <a:latin typeface="David" panose="020E0502060401010101" pitchFamily="34" charset="-79"/>
              <a:cs typeface="David" panose="020E0502060401010101" pitchFamily="34" charset="-79"/>
            </a:rPr>
            <a:t> </a:t>
          </a:r>
          <a:r>
            <a:rPr lang="he-IL" sz="1000" kern="1200">
              <a:latin typeface="David" panose="020E0502060401010101" pitchFamily="34" charset="-79"/>
              <a:cs typeface="David" panose="020E0502060401010101" pitchFamily="34" charset="-79"/>
            </a:rPr>
            <a:t>(</a:t>
          </a:r>
          <a:r>
            <a:rPr lang="en-US" sz="1000" kern="1200">
              <a:latin typeface="David" panose="020E0502060401010101" pitchFamily="34" charset="-79"/>
              <a:cs typeface="David" panose="020E0502060401010101" pitchFamily="34" charset="-79"/>
            </a:rPr>
            <a:t>ISOX</a:t>
          </a:r>
          <a:r>
            <a:rPr lang="he-IL" sz="1000" kern="1200">
              <a:latin typeface="David" panose="020E0502060401010101" pitchFamily="34" charset="-79"/>
              <a:cs typeface="David" panose="020E0502060401010101" pitchFamily="34" charset="-79"/>
            </a:rPr>
            <a:t>)</a:t>
          </a:r>
          <a:r>
            <a:rPr lang="en-US" sz="1000" kern="1200">
              <a:latin typeface="David" panose="020E0502060401010101" pitchFamily="34" charset="-79"/>
              <a:cs typeface="David" panose="020E0502060401010101" pitchFamily="34" charset="-79"/>
            </a:rPr>
            <a:t> - </a:t>
          </a:r>
          <a:r>
            <a:rPr lang="he-IL" sz="1000" kern="1200">
              <a:latin typeface="David" panose="020E0502060401010101" pitchFamily="34" charset="-79"/>
              <a:cs typeface="David" panose="020E0502060401010101" pitchFamily="34" charset="-79"/>
            </a:rPr>
            <a:t> 02/2011</a:t>
          </a:r>
        </a:p>
      </dsp:txBody>
      <dsp:txXfrm>
        <a:off x="1825096" y="5635110"/>
        <a:ext cx="2633822" cy="458882"/>
      </dsp:txXfrm>
    </dsp:sp>
    <dsp:sp modelId="{10F7ACC7-8A33-48BE-878A-119BE9E03563}">
      <dsp:nvSpPr>
        <dsp:cNvPr id="0" name=""/>
        <dsp:cNvSpPr/>
      </dsp:nvSpPr>
      <dsp:spPr>
        <a:xfrm rot="5400000">
          <a:off x="2983907" y="6115352"/>
          <a:ext cx="316199" cy="200922"/>
        </a:xfrm>
        <a:prstGeom prst="rightArrow">
          <a:avLst>
            <a:gd name="adj1" fmla="val 60000"/>
            <a:gd name="adj2" fmla="val 50000"/>
          </a:avLst>
        </a:prstGeom>
        <a:solidFill>
          <a:schemeClr val="accent4">
            <a:hueOff val="9240615"/>
            <a:satOff val="-42638"/>
            <a:lumOff val="156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rtl="1">
            <a:lnSpc>
              <a:spcPct val="90000"/>
            </a:lnSpc>
            <a:spcBef>
              <a:spcPct val="0"/>
            </a:spcBef>
            <a:spcAft>
              <a:spcPct val="35000"/>
            </a:spcAft>
          </a:pPr>
          <a:endParaRPr lang="he-IL" sz="800" kern="1200">
            <a:latin typeface="David" panose="020E0502060401010101" pitchFamily="34" charset="-79"/>
            <a:cs typeface="David" panose="020E0502060401010101" pitchFamily="34" charset="-79"/>
          </a:endParaRPr>
        </a:p>
      </dsp:txBody>
      <dsp:txXfrm rot="-5400000">
        <a:off x="3081730" y="6057714"/>
        <a:ext cx="120554" cy="255922"/>
      </dsp:txXfrm>
    </dsp:sp>
    <dsp:sp modelId="{B6C30858-CF0F-4C57-B76B-C41D7D2FD33E}">
      <dsp:nvSpPr>
        <dsp:cNvPr id="0" name=""/>
        <dsp:cNvSpPr/>
      </dsp:nvSpPr>
      <dsp:spPr>
        <a:xfrm>
          <a:off x="1810820" y="6323359"/>
          <a:ext cx="2662374" cy="487434"/>
        </a:xfrm>
        <a:prstGeom prst="roundRect">
          <a:avLst>
            <a:gd name="adj" fmla="val 10000"/>
          </a:avLst>
        </a:prstGeom>
        <a:solidFill>
          <a:schemeClr val="accent4">
            <a:hueOff val="9356123"/>
            <a:satOff val="-43171"/>
            <a:lumOff val="158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הצעה להקמת </a:t>
          </a:r>
          <a:r>
            <a:rPr lang="en-US" sz="1000" kern="1200">
              <a:latin typeface="David" panose="020E0502060401010101" pitchFamily="34" charset="-79"/>
              <a:cs typeface="David" panose="020E0502060401010101" pitchFamily="34" charset="-79"/>
            </a:rPr>
            <a:t>IPACOB</a:t>
          </a:r>
          <a:r>
            <a:rPr lang="he-IL" sz="1000" kern="1200">
              <a:latin typeface="David" panose="020E0502060401010101" pitchFamily="34" charset="-79"/>
              <a:cs typeface="David" panose="020E0502060401010101" pitchFamily="34" charset="-79"/>
            </a:rPr>
            <a:t>- 2012</a:t>
          </a:r>
        </a:p>
      </dsp:txBody>
      <dsp:txXfrm>
        <a:off x="1825096" y="6337635"/>
        <a:ext cx="2633822" cy="458882"/>
      </dsp:txXfrm>
    </dsp:sp>
    <dsp:sp modelId="{B1869D98-F777-4E6D-A6F5-110A454037BD}">
      <dsp:nvSpPr>
        <dsp:cNvPr id="0" name=""/>
        <dsp:cNvSpPr/>
      </dsp:nvSpPr>
      <dsp:spPr>
        <a:xfrm rot="5400000">
          <a:off x="2983907" y="6817877"/>
          <a:ext cx="316199" cy="200922"/>
        </a:xfrm>
        <a:prstGeom prst="rightArrow">
          <a:avLst>
            <a:gd name="adj1" fmla="val 60000"/>
            <a:gd name="adj2" fmla="val 50000"/>
          </a:avLst>
        </a:prstGeom>
        <a:solidFill>
          <a:schemeClr val="accent4">
            <a:hueOff val="10395692"/>
            <a:satOff val="-47968"/>
            <a:lumOff val="176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rtl="1">
            <a:lnSpc>
              <a:spcPct val="90000"/>
            </a:lnSpc>
            <a:spcBef>
              <a:spcPct val="0"/>
            </a:spcBef>
            <a:spcAft>
              <a:spcPct val="35000"/>
            </a:spcAft>
          </a:pPr>
          <a:endParaRPr lang="he-IL" sz="800" kern="1200">
            <a:latin typeface="David" panose="020E0502060401010101" pitchFamily="34" charset="-79"/>
            <a:cs typeface="David" panose="020E0502060401010101" pitchFamily="34" charset="-79"/>
          </a:endParaRPr>
        </a:p>
      </dsp:txBody>
      <dsp:txXfrm rot="-5400000">
        <a:off x="3081730" y="6760239"/>
        <a:ext cx="120554" cy="255922"/>
      </dsp:txXfrm>
    </dsp:sp>
    <dsp:sp modelId="{461773EB-9760-44C4-AEB8-6E4DA4A2EFA2}">
      <dsp:nvSpPr>
        <dsp:cNvPr id="0" name=""/>
        <dsp:cNvSpPr/>
      </dsp:nvSpPr>
      <dsp:spPr>
        <a:xfrm>
          <a:off x="1810820" y="7025884"/>
          <a:ext cx="2662374" cy="487434"/>
        </a:xfrm>
        <a:prstGeom prst="roundRect">
          <a:avLst>
            <a:gd name="adj" fmla="val 10000"/>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החל מ-2014 בוטל רטרואקטיבית מ-2013 . ה-</a:t>
          </a:r>
          <a:r>
            <a:rPr lang="en-US" sz="1000" kern="1200">
              <a:latin typeface="David" panose="020E0502060401010101" pitchFamily="34" charset="-79"/>
              <a:cs typeface="David" panose="020E0502060401010101" pitchFamily="34" charset="-79"/>
            </a:rPr>
            <a:t>ISOX</a:t>
          </a:r>
          <a:r>
            <a:rPr lang="he-IL" sz="1000" kern="1200">
              <a:latin typeface="David" panose="020E0502060401010101" pitchFamily="34" charset="-79"/>
              <a:cs typeface="David" panose="020E0502060401010101" pitchFamily="34" charset="-79"/>
            </a:rPr>
            <a:t> לגבי חברות ששוי השוק שלהן קטן מ-300,000,000 ש"ח (כ-60% מהחברות הציבוריות )</a:t>
          </a:r>
        </a:p>
      </dsp:txBody>
      <dsp:txXfrm>
        <a:off x="1825096" y="7040160"/>
        <a:ext cx="2633822" cy="4588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5EB26-7285-479C-A3A5-648355C2D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2458</TotalTime>
  <Pages>1</Pages>
  <Words>2943</Words>
  <Characters>14717</Characters>
  <Application>Microsoft Office Word</Application>
  <DocSecurity>0</DocSecurity>
  <Lines>122</Lines>
  <Paragraphs>35</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 ישר</cp:lastModifiedBy>
  <cp:revision>233</cp:revision>
  <cp:lastPrinted>2014-11-10T06:43:00Z</cp:lastPrinted>
  <dcterms:created xsi:type="dcterms:W3CDTF">2014-10-19T05:02:00Z</dcterms:created>
  <dcterms:modified xsi:type="dcterms:W3CDTF">2014-11-23T20:29:00Z</dcterms:modified>
</cp:coreProperties>
</file>