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6B" w:rsidRDefault="009B295E" w:rsidP="0047616B">
      <w:pPr>
        <w:spacing w:line="360" w:lineRule="auto"/>
        <w:jc w:val="center"/>
        <w:rPr>
          <w:rFonts w:cs="David" w:hint="cs"/>
          <w:b/>
          <w:bCs/>
          <w:sz w:val="24"/>
          <w:szCs w:val="24"/>
          <w:u w:val="single"/>
          <w:rtl/>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42093B">
        <w:rPr>
          <w:rFonts w:cs="David" w:hint="cs"/>
          <w:b/>
          <w:bCs/>
          <w:sz w:val="24"/>
          <w:szCs w:val="24"/>
          <w:u w:val="single"/>
          <w:rtl/>
        </w:rPr>
        <w:t xml:space="preserve"> שיע</w:t>
      </w:r>
      <w:r w:rsidR="00761CBD">
        <w:rPr>
          <w:rFonts w:cs="David" w:hint="cs"/>
          <w:b/>
          <w:bCs/>
          <w:sz w:val="24"/>
          <w:szCs w:val="24"/>
          <w:u w:val="single"/>
          <w:rtl/>
        </w:rPr>
        <w:t>ור 11</w:t>
      </w:r>
    </w:p>
    <w:p w:rsidR="008506BC" w:rsidRDefault="00DF2468" w:rsidP="00761CBD">
      <w:pPr>
        <w:spacing w:line="360" w:lineRule="auto"/>
        <w:jc w:val="both"/>
        <w:rPr>
          <w:rFonts w:eastAsiaTheme="minorEastAsia" w:cs="David" w:hint="cs"/>
          <w:sz w:val="24"/>
          <w:szCs w:val="24"/>
          <w:rtl/>
        </w:rPr>
      </w:pPr>
      <w:r>
        <w:rPr>
          <w:rFonts w:eastAsiaTheme="minorEastAsia" w:cs="David" w:hint="cs"/>
          <w:sz w:val="24"/>
          <w:szCs w:val="24"/>
          <w:rtl/>
        </w:rPr>
        <w:t xml:space="preserve">יש להבחין בין </w:t>
      </w:r>
      <w:r w:rsidR="00AE670E">
        <w:rPr>
          <w:rFonts w:eastAsiaTheme="minorEastAsia" w:cs="David" w:hint="cs"/>
          <w:sz w:val="24"/>
          <w:szCs w:val="24"/>
          <w:rtl/>
        </w:rPr>
        <w:t>תנאי השליטה בהגדרת חנ"ז לבין בעל שליטה .</w:t>
      </w:r>
    </w:p>
    <w:p w:rsidR="00AE670E" w:rsidRDefault="00AE670E" w:rsidP="00761CBD">
      <w:pPr>
        <w:spacing w:line="360" w:lineRule="auto"/>
        <w:jc w:val="both"/>
        <w:rPr>
          <w:rFonts w:eastAsiaTheme="minorEastAsia" w:cs="David"/>
          <w:sz w:val="24"/>
          <w:szCs w:val="24"/>
          <w:rtl/>
        </w:rPr>
      </w:pPr>
      <w:r>
        <w:rPr>
          <w:rFonts w:eastAsiaTheme="minorEastAsia" w:cs="David" w:hint="cs"/>
          <w:b/>
          <w:bCs/>
          <w:sz w:val="24"/>
          <w:szCs w:val="24"/>
          <w:rtl/>
        </w:rPr>
        <w:t xml:space="preserve">בעל שליטה </w:t>
      </w:r>
      <w:r>
        <w:rPr>
          <w:rFonts w:eastAsiaTheme="minorEastAsia" w:cs="David"/>
          <w:b/>
          <w:bCs/>
          <w:sz w:val="24"/>
          <w:szCs w:val="24"/>
          <w:rtl/>
        </w:rPr>
        <w:t>–</w:t>
      </w:r>
      <w:r>
        <w:rPr>
          <w:rFonts w:eastAsiaTheme="minorEastAsia" w:cs="David" w:hint="cs"/>
          <w:b/>
          <w:bCs/>
          <w:sz w:val="24"/>
          <w:szCs w:val="24"/>
          <w:rtl/>
        </w:rPr>
        <w:t xml:space="preserve"> </w:t>
      </w:r>
      <w:r w:rsidRPr="00AE670E">
        <w:rPr>
          <w:rFonts w:eastAsiaTheme="minorEastAsia" w:cs="David" w:hint="cs"/>
          <w:sz w:val="24"/>
          <w:szCs w:val="24"/>
          <w:rtl/>
        </w:rPr>
        <w:t>תושב ישראל שמחזיק יחד עם אחר שהוא תושב ישראל 10% מהזכויות בחנ"ז</w:t>
      </w:r>
      <w:r>
        <w:rPr>
          <w:rFonts w:eastAsiaTheme="minorEastAsia" w:cs="David" w:hint="cs"/>
          <w:sz w:val="24"/>
          <w:szCs w:val="24"/>
          <w:rtl/>
        </w:rPr>
        <w:t>.</w:t>
      </w:r>
    </w:p>
    <w:p w:rsidR="00AE670E" w:rsidRDefault="00AE670E" w:rsidP="00761CBD">
      <w:pPr>
        <w:spacing w:line="360" w:lineRule="auto"/>
        <w:jc w:val="both"/>
        <w:rPr>
          <w:rFonts w:eastAsiaTheme="minorEastAsia" w:cs="David"/>
          <w:sz w:val="24"/>
          <w:szCs w:val="24"/>
          <w:rtl/>
        </w:rPr>
      </w:pPr>
      <w:r>
        <w:rPr>
          <w:rFonts w:eastAsiaTheme="minorEastAsia" w:cs="David" w:hint="cs"/>
          <w:sz w:val="24"/>
          <w:szCs w:val="24"/>
          <w:rtl/>
        </w:rPr>
        <w:t xml:space="preserve">לעניין הגדרת בעל שליטה </w:t>
      </w:r>
      <w:r>
        <w:rPr>
          <w:rFonts w:eastAsiaTheme="minorEastAsia" w:cs="David"/>
          <w:sz w:val="24"/>
          <w:szCs w:val="24"/>
          <w:rtl/>
        </w:rPr>
        <w:t>–</w:t>
      </w:r>
      <w:r>
        <w:rPr>
          <w:rFonts w:eastAsiaTheme="minorEastAsia" w:cs="David" w:hint="cs"/>
          <w:sz w:val="24"/>
          <w:szCs w:val="24"/>
          <w:rtl/>
        </w:rPr>
        <w:t xml:space="preserve"> קרוב הוא כאמור תושב ישראל ובהתאם להגדרת קרוב בסעיף 88 לפקודה. (הן לפני תיקון 198 והן לאחריו). </w:t>
      </w:r>
    </w:p>
    <w:p w:rsidR="00AE670E" w:rsidRDefault="00AE670E" w:rsidP="00761CBD">
      <w:pPr>
        <w:spacing w:line="360" w:lineRule="auto"/>
        <w:jc w:val="both"/>
        <w:rPr>
          <w:rFonts w:eastAsiaTheme="minorEastAsia" w:cs="David" w:hint="cs"/>
          <w:sz w:val="24"/>
          <w:szCs w:val="24"/>
          <w:rtl/>
        </w:rPr>
      </w:pPr>
      <w:r>
        <w:rPr>
          <w:rFonts w:eastAsiaTheme="minorEastAsia" w:cs="David" w:hint="cs"/>
          <w:sz w:val="24"/>
          <w:szCs w:val="24"/>
          <w:rtl/>
        </w:rPr>
        <w:t xml:space="preserve">לגבי תנאי השליטה בחלופה השניה שלו יש צורך ב-40% החזקה של תושבי ישראל שיחד עם קרוב שלהם שהוא תושב חוץ מחזיקים מעל 50% . </w:t>
      </w:r>
    </w:p>
    <w:p w:rsidR="00AE670E" w:rsidRDefault="00AE670E" w:rsidP="00761CBD">
      <w:pPr>
        <w:spacing w:line="360" w:lineRule="auto"/>
        <w:jc w:val="both"/>
        <w:rPr>
          <w:rFonts w:eastAsiaTheme="minorEastAsia" w:cs="David"/>
          <w:sz w:val="24"/>
          <w:szCs w:val="24"/>
          <w:rtl/>
        </w:rPr>
      </w:pPr>
      <w:r>
        <w:rPr>
          <w:rFonts w:eastAsiaTheme="minorEastAsia" w:cs="David" w:hint="cs"/>
          <w:b/>
          <w:bCs/>
          <w:sz w:val="24"/>
          <w:szCs w:val="24"/>
          <w:rtl/>
        </w:rPr>
        <w:t xml:space="preserve">לעניין תנאי השליטה </w:t>
      </w:r>
      <w:r>
        <w:rPr>
          <w:rFonts w:eastAsiaTheme="minorEastAsia" w:cs="David"/>
          <w:sz w:val="24"/>
          <w:szCs w:val="24"/>
          <w:rtl/>
        </w:rPr>
        <w:t>–</w:t>
      </w:r>
      <w:r>
        <w:rPr>
          <w:rFonts w:eastAsiaTheme="minorEastAsia" w:cs="David" w:hint="cs"/>
          <w:sz w:val="24"/>
          <w:szCs w:val="24"/>
          <w:rtl/>
        </w:rPr>
        <w:t xml:space="preserve"> קרוב הוגדר כקרוב לפי סעיף 76(ד) לפני תיקון 198</w:t>
      </w:r>
      <w:r w:rsidRPr="00AE670E">
        <w:rPr>
          <w:rFonts w:eastAsiaTheme="minorEastAsia" w:cs="David" w:hint="cs"/>
          <w:sz w:val="24"/>
          <w:szCs w:val="24"/>
          <w:rtl/>
        </w:rPr>
        <w:t xml:space="preserve"> </w:t>
      </w:r>
      <w:r>
        <w:rPr>
          <w:rFonts w:eastAsiaTheme="minorEastAsia" w:cs="David" w:hint="cs"/>
          <w:sz w:val="24"/>
          <w:szCs w:val="24"/>
          <w:rtl/>
        </w:rPr>
        <w:t>ולאחר תיקון 198 קרוב מוגדר כקרוב לפי סעיף 88 לפקודה. (הגדרה רחבה יותר)</w:t>
      </w:r>
    </w:p>
    <w:p w:rsidR="00AE670E" w:rsidRDefault="00AE670E" w:rsidP="00AE670E">
      <w:pPr>
        <w:spacing w:line="360" w:lineRule="auto"/>
        <w:jc w:val="center"/>
        <w:rPr>
          <w:rFonts w:eastAsiaTheme="minorEastAsia" w:cs="David" w:hint="cs"/>
          <w:b/>
          <w:bCs/>
          <w:sz w:val="24"/>
          <w:szCs w:val="24"/>
          <w:u w:val="single"/>
          <w:rtl/>
        </w:rPr>
      </w:pPr>
      <w:r>
        <w:rPr>
          <w:rFonts w:eastAsiaTheme="minorEastAsia" w:cs="David" w:hint="cs"/>
          <w:b/>
          <w:bCs/>
          <w:sz w:val="24"/>
          <w:szCs w:val="24"/>
          <w:u w:val="single"/>
          <w:rtl/>
        </w:rPr>
        <w:t>רווחים שלא שולמו</w:t>
      </w:r>
    </w:p>
    <w:p w:rsidR="00AE670E" w:rsidRDefault="00AE670E" w:rsidP="00AE670E">
      <w:pPr>
        <w:spacing w:line="360" w:lineRule="auto"/>
        <w:jc w:val="both"/>
        <w:rPr>
          <w:rFonts w:eastAsiaTheme="minorEastAsia" w:cs="David"/>
          <w:sz w:val="24"/>
          <w:szCs w:val="24"/>
          <w:rtl/>
        </w:rPr>
      </w:pPr>
      <w:r>
        <w:rPr>
          <w:rFonts w:eastAsiaTheme="minorEastAsia" w:cs="David" w:hint="cs"/>
          <w:sz w:val="24"/>
          <w:szCs w:val="24"/>
          <w:rtl/>
        </w:rPr>
        <w:t>רווחים שלא שולמו הינם הסכום שרואים אותו כמחולק כדיבידנד רעיוני לבע"ש שהוא תושב ישראל והם שווים ל:</w:t>
      </w:r>
    </w:p>
    <w:p w:rsidR="00AE670E" w:rsidRDefault="00AE670E" w:rsidP="00AE670E">
      <w:pPr>
        <w:spacing w:line="360" w:lineRule="auto"/>
        <w:jc w:val="both"/>
        <w:rPr>
          <w:rFonts w:eastAsiaTheme="minorEastAsia" w:cs="David"/>
          <w:sz w:val="24"/>
          <w:szCs w:val="24"/>
          <w:rtl/>
        </w:rPr>
      </w:pPr>
      <w:r>
        <w:rPr>
          <w:rFonts w:eastAsiaTheme="minorEastAsia" w:cs="David"/>
          <w:noProof/>
          <w:sz w:val="24"/>
          <w:szCs w:val="24"/>
          <w:rtl/>
        </w:rPr>
        <w:drawing>
          <wp:inline distT="0" distB="0" distL="0" distR="0">
            <wp:extent cx="5274310" cy="866898"/>
            <wp:effectExtent l="57150" t="19050" r="59690" b="6667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7598" w:rsidRDefault="00AE670E" w:rsidP="00AE670E">
      <w:pPr>
        <w:spacing w:line="360" w:lineRule="auto"/>
        <w:jc w:val="both"/>
        <w:rPr>
          <w:rFonts w:eastAsiaTheme="minorEastAsia" w:cs="David"/>
          <w:sz w:val="24"/>
          <w:szCs w:val="24"/>
          <w:rtl/>
        </w:rPr>
      </w:pPr>
      <w:r>
        <w:rPr>
          <w:rFonts w:eastAsiaTheme="minorEastAsia" w:cs="David" w:hint="cs"/>
          <w:sz w:val="24"/>
          <w:szCs w:val="24"/>
          <w:rtl/>
        </w:rPr>
        <w:t xml:space="preserve">רווחים שלא שולמו משקפים את סכום הרווחים הפאסיביים שהיה ניתן לחלק כדיבידנד ולכן הם לא כוללים מיסים ששולמו על הרווחים הפאסיביים , סכום שחולק כדיבידנד וניתן לקזז מהם הפסדים פאסיביים בלבד, הן מהשנה השוטפת והן מהפסדים מועברים. סכום </w:t>
      </w:r>
      <w:r w:rsidR="00F77598">
        <w:rPr>
          <w:rFonts w:eastAsiaTheme="minorEastAsia" w:cs="David" w:hint="cs"/>
          <w:sz w:val="24"/>
          <w:szCs w:val="24"/>
          <w:rtl/>
        </w:rPr>
        <w:t>הר</w:t>
      </w:r>
      <w:r>
        <w:rPr>
          <w:rFonts w:eastAsiaTheme="minorEastAsia" w:cs="David" w:hint="cs"/>
          <w:sz w:val="24"/>
          <w:szCs w:val="24"/>
          <w:rtl/>
        </w:rPr>
        <w:t xml:space="preserve">ווחים שלא שולמו יחושבו לפי דיני המס החלים כהגדרתם בסעיף </w:t>
      </w:r>
      <w:r w:rsidR="00F77598">
        <w:rPr>
          <w:rFonts w:eastAsiaTheme="minorEastAsia" w:cs="David" w:hint="cs"/>
          <w:sz w:val="24"/>
          <w:szCs w:val="24"/>
          <w:rtl/>
        </w:rPr>
        <w:t xml:space="preserve">75ב1(ב): </w:t>
      </w:r>
    </w:p>
    <w:p w:rsidR="00AE670E" w:rsidRDefault="00F77598" w:rsidP="00F77598">
      <w:pPr>
        <w:pStyle w:val="a7"/>
        <w:numPr>
          <w:ilvl w:val="0"/>
          <w:numId w:val="15"/>
        </w:numPr>
        <w:spacing w:line="360" w:lineRule="auto"/>
        <w:jc w:val="both"/>
        <w:rPr>
          <w:rFonts w:eastAsiaTheme="minorEastAsia" w:cs="David"/>
          <w:sz w:val="24"/>
          <w:szCs w:val="24"/>
        </w:rPr>
      </w:pPr>
      <w:r w:rsidRPr="00F77598">
        <w:rPr>
          <w:rFonts w:eastAsiaTheme="minorEastAsia" w:cs="David" w:hint="cs"/>
          <w:sz w:val="24"/>
          <w:szCs w:val="24"/>
          <w:rtl/>
        </w:rPr>
        <w:t>במדינה שאינה תושבת מדינה גומלת כלומר, שאינה חתומה על אמנת מס עם ישראל, הרווחים יחושבו על פי כללי פקודת מ"ה. לפני תיקון 198 אם החנ"ז היתה תושבת מדינה לא גומלת הרווחים שלא שולמו חושבו על פי כללי חשבונאות מקובלים</w:t>
      </w:r>
      <w:r w:rsidR="00AE670E" w:rsidRPr="00F77598">
        <w:rPr>
          <w:rFonts w:eastAsiaTheme="minorEastAsia" w:cs="David" w:hint="cs"/>
          <w:sz w:val="24"/>
          <w:szCs w:val="24"/>
          <w:rtl/>
        </w:rPr>
        <w:t xml:space="preserve">  </w:t>
      </w:r>
    </w:p>
    <w:p w:rsidR="00F77598" w:rsidRDefault="00F77598" w:rsidP="00F77598">
      <w:pPr>
        <w:pStyle w:val="a7"/>
        <w:numPr>
          <w:ilvl w:val="0"/>
          <w:numId w:val="15"/>
        </w:numPr>
        <w:spacing w:line="360" w:lineRule="auto"/>
        <w:jc w:val="both"/>
        <w:rPr>
          <w:rFonts w:eastAsiaTheme="minorEastAsia" w:cs="David"/>
          <w:sz w:val="24"/>
          <w:szCs w:val="24"/>
        </w:rPr>
      </w:pPr>
      <w:r>
        <w:rPr>
          <w:rFonts w:eastAsiaTheme="minorEastAsia" w:cs="David" w:hint="cs"/>
          <w:sz w:val="24"/>
          <w:szCs w:val="24"/>
          <w:rtl/>
        </w:rPr>
        <w:t>במדינה גומלת דיני המס באותה מדינה כאשר לאחר תיקון 198 נוסיף לרווח שחושב באותה מדינה הכנסות פטורות, הכנסות מחוץ לבסיס המס וניכויים רעיוניים.</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59"/>
        <w:gridCol w:w="2650"/>
      </w:tblGrid>
      <w:tr w:rsidR="00F77598" w:rsidTr="00F77598">
        <w:tc>
          <w:tcPr>
            <w:tcW w:w="2765" w:type="dxa"/>
          </w:tcPr>
          <w:p w:rsidR="00F77598" w:rsidRPr="00F77598" w:rsidRDefault="00F77598" w:rsidP="00F77598">
            <w:pPr>
              <w:spacing w:line="360" w:lineRule="auto"/>
              <w:jc w:val="both"/>
              <w:rPr>
                <w:rFonts w:eastAsiaTheme="minorEastAsia" w:cs="David" w:hint="cs"/>
                <w:b/>
                <w:bCs/>
                <w:sz w:val="24"/>
                <w:szCs w:val="24"/>
                <w:rtl/>
              </w:rPr>
            </w:pPr>
          </w:p>
        </w:tc>
        <w:tc>
          <w:tcPr>
            <w:tcW w:w="2765" w:type="dxa"/>
          </w:tcPr>
          <w:p w:rsidR="00F77598" w:rsidRPr="00F77598" w:rsidRDefault="00F77598" w:rsidP="00F77598">
            <w:pPr>
              <w:spacing w:line="360" w:lineRule="auto"/>
              <w:jc w:val="both"/>
              <w:rPr>
                <w:rFonts w:eastAsiaTheme="minorEastAsia" w:cs="David" w:hint="cs"/>
                <w:b/>
                <w:bCs/>
                <w:sz w:val="24"/>
                <w:szCs w:val="24"/>
                <w:rtl/>
              </w:rPr>
            </w:pPr>
            <w:r w:rsidRPr="00F77598">
              <w:rPr>
                <w:rFonts w:eastAsiaTheme="minorEastAsia" w:cs="David" w:hint="cs"/>
                <w:b/>
                <w:bCs/>
                <w:sz w:val="24"/>
                <w:szCs w:val="24"/>
                <w:rtl/>
              </w:rPr>
              <w:t>לפני תיקון 198</w:t>
            </w:r>
          </w:p>
        </w:tc>
        <w:tc>
          <w:tcPr>
            <w:tcW w:w="2766" w:type="dxa"/>
          </w:tcPr>
          <w:p w:rsidR="00F77598" w:rsidRPr="00F77598" w:rsidRDefault="00F77598" w:rsidP="00F77598">
            <w:pPr>
              <w:spacing w:line="360" w:lineRule="auto"/>
              <w:jc w:val="both"/>
              <w:rPr>
                <w:rFonts w:eastAsiaTheme="minorEastAsia" w:cs="David" w:hint="cs"/>
                <w:b/>
                <w:bCs/>
                <w:sz w:val="24"/>
                <w:szCs w:val="24"/>
                <w:rtl/>
              </w:rPr>
            </w:pPr>
            <w:r w:rsidRPr="00F77598">
              <w:rPr>
                <w:rFonts w:eastAsiaTheme="minorEastAsia" w:cs="David" w:hint="cs"/>
                <w:b/>
                <w:bCs/>
                <w:sz w:val="24"/>
                <w:szCs w:val="24"/>
                <w:rtl/>
              </w:rPr>
              <w:t>אחרי תיקון 198</w:t>
            </w:r>
          </w:p>
        </w:tc>
      </w:tr>
      <w:tr w:rsidR="00F77598" w:rsidTr="00F77598">
        <w:tc>
          <w:tcPr>
            <w:tcW w:w="2765" w:type="dxa"/>
          </w:tcPr>
          <w:p w:rsidR="00F77598" w:rsidRPr="00F77598" w:rsidRDefault="00F77598" w:rsidP="00F77598">
            <w:pPr>
              <w:spacing w:line="360" w:lineRule="auto"/>
              <w:jc w:val="both"/>
              <w:rPr>
                <w:rFonts w:eastAsiaTheme="minorEastAsia" w:cs="David" w:hint="cs"/>
                <w:b/>
                <w:bCs/>
                <w:sz w:val="24"/>
                <w:szCs w:val="24"/>
                <w:rtl/>
              </w:rPr>
            </w:pPr>
            <w:r w:rsidRPr="00F77598">
              <w:rPr>
                <w:rFonts w:eastAsiaTheme="minorEastAsia" w:cs="David" w:hint="cs"/>
                <w:b/>
                <w:bCs/>
                <w:sz w:val="24"/>
                <w:szCs w:val="24"/>
                <w:rtl/>
              </w:rPr>
              <w:t>מדינה לא גומלת</w:t>
            </w:r>
          </w:p>
        </w:tc>
        <w:tc>
          <w:tcPr>
            <w:tcW w:w="2765" w:type="dxa"/>
          </w:tcPr>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 xml:space="preserve">כללי חשבונאות מקובלים </w:t>
            </w:r>
            <w:r w:rsidRPr="00F77598">
              <w:rPr>
                <w:rFonts w:eastAsiaTheme="minorEastAsia" w:cs="David"/>
                <w:sz w:val="24"/>
                <w:szCs w:val="24"/>
              </w:rPr>
              <w:sym w:font="Wingdings" w:char="F0DF"/>
            </w:r>
          </w:p>
        </w:tc>
        <w:tc>
          <w:tcPr>
            <w:tcW w:w="2766" w:type="dxa"/>
          </w:tcPr>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דיני המס בישראל</w:t>
            </w:r>
          </w:p>
        </w:tc>
      </w:tr>
      <w:tr w:rsidR="00F77598" w:rsidTr="00F77598">
        <w:tc>
          <w:tcPr>
            <w:tcW w:w="2765" w:type="dxa"/>
          </w:tcPr>
          <w:p w:rsidR="00F77598" w:rsidRPr="00F77598" w:rsidRDefault="00F77598" w:rsidP="00F77598">
            <w:pPr>
              <w:spacing w:line="360" w:lineRule="auto"/>
              <w:jc w:val="both"/>
              <w:rPr>
                <w:rFonts w:eastAsiaTheme="minorEastAsia" w:cs="David" w:hint="cs"/>
                <w:b/>
                <w:bCs/>
                <w:sz w:val="24"/>
                <w:szCs w:val="24"/>
                <w:rtl/>
              </w:rPr>
            </w:pPr>
            <w:r w:rsidRPr="00F77598">
              <w:rPr>
                <w:rFonts w:eastAsiaTheme="minorEastAsia" w:cs="David" w:hint="cs"/>
                <w:b/>
                <w:bCs/>
                <w:sz w:val="24"/>
                <w:szCs w:val="24"/>
                <w:rtl/>
              </w:rPr>
              <w:t>מדינה גומלת</w:t>
            </w:r>
          </w:p>
        </w:tc>
        <w:tc>
          <w:tcPr>
            <w:tcW w:w="2765" w:type="dxa"/>
          </w:tcPr>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 xml:space="preserve">דיני המס באותה מדינה </w:t>
            </w:r>
            <w:r w:rsidRPr="00F77598">
              <w:rPr>
                <w:rFonts w:eastAsiaTheme="minorEastAsia" w:cs="David"/>
                <w:sz w:val="24"/>
                <w:szCs w:val="24"/>
              </w:rPr>
              <w:sym w:font="Wingdings" w:char="F0DF"/>
            </w:r>
          </w:p>
        </w:tc>
        <w:tc>
          <w:tcPr>
            <w:tcW w:w="2766" w:type="dxa"/>
          </w:tcPr>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 xml:space="preserve">דיני המס באותה מדינה + רווחים פטורים </w:t>
            </w:r>
          </w:p>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רווחים מחוץ לבסיס המס</w:t>
            </w:r>
          </w:p>
          <w:p w:rsidR="00F77598" w:rsidRDefault="00F77598" w:rsidP="00F77598">
            <w:pPr>
              <w:spacing w:line="360" w:lineRule="auto"/>
              <w:jc w:val="both"/>
              <w:rPr>
                <w:rFonts w:eastAsiaTheme="minorEastAsia" w:cs="David" w:hint="cs"/>
                <w:sz w:val="24"/>
                <w:szCs w:val="24"/>
                <w:rtl/>
              </w:rPr>
            </w:pPr>
            <w:r>
              <w:rPr>
                <w:rFonts w:eastAsiaTheme="minorEastAsia" w:cs="David" w:hint="cs"/>
                <w:sz w:val="24"/>
                <w:szCs w:val="24"/>
                <w:rtl/>
              </w:rPr>
              <w:t>+ ניכויים רעיוניים</w:t>
            </w:r>
          </w:p>
        </w:tc>
      </w:tr>
    </w:tbl>
    <w:p w:rsidR="00F77598" w:rsidRDefault="00F77598" w:rsidP="00F77598">
      <w:pPr>
        <w:spacing w:line="360" w:lineRule="auto"/>
        <w:ind w:left="360"/>
        <w:jc w:val="center"/>
        <w:rPr>
          <w:rFonts w:eastAsiaTheme="minorEastAsia" w:cs="David"/>
          <w:b/>
          <w:bCs/>
          <w:sz w:val="24"/>
          <w:szCs w:val="24"/>
          <w:u w:val="single"/>
          <w:rtl/>
        </w:rPr>
      </w:pPr>
    </w:p>
    <w:p w:rsidR="00F77598" w:rsidRDefault="00F77598" w:rsidP="00F77598">
      <w:pPr>
        <w:spacing w:line="360" w:lineRule="auto"/>
        <w:ind w:left="360"/>
        <w:jc w:val="center"/>
        <w:rPr>
          <w:rFonts w:eastAsiaTheme="minorEastAsia" w:cs="David" w:hint="cs"/>
          <w:b/>
          <w:bCs/>
          <w:sz w:val="24"/>
          <w:szCs w:val="24"/>
          <w:u w:val="single"/>
          <w:rtl/>
        </w:rPr>
      </w:pPr>
      <w:r>
        <w:rPr>
          <w:rFonts w:eastAsiaTheme="minorEastAsia" w:cs="David" w:hint="cs"/>
          <w:b/>
          <w:bCs/>
          <w:sz w:val="24"/>
          <w:szCs w:val="24"/>
          <w:u w:val="single"/>
          <w:rtl/>
        </w:rPr>
        <w:lastRenderedPageBreak/>
        <w:t>חיוב בע"ש במס</w:t>
      </w:r>
    </w:p>
    <w:p w:rsidR="00F77598" w:rsidRDefault="00F77598" w:rsidP="00632593">
      <w:pPr>
        <w:spacing w:line="360" w:lineRule="auto"/>
        <w:jc w:val="both"/>
        <w:rPr>
          <w:rFonts w:eastAsiaTheme="minorEastAsia" w:cs="David"/>
          <w:sz w:val="24"/>
          <w:szCs w:val="24"/>
          <w:rtl/>
        </w:rPr>
      </w:pPr>
      <w:r>
        <w:rPr>
          <w:rFonts w:eastAsiaTheme="minorEastAsia" w:cs="David" w:hint="cs"/>
          <w:sz w:val="24"/>
          <w:szCs w:val="24"/>
          <w:rtl/>
        </w:rPr>
        <w:t>הדיבידנד הרעיוני יהיה חייב במס בשיעור המס החל על דיבידנד בפקודה כדלקמן:</w:t>
      </w:r>
    </w:p>
    <w:p w:rsidR="00F77598" w:rsidRDefault="00F77598" w:rsidP="00632593">
      <w:pPr>
        <w:spacing w:line="360" w:lineRule="auto"/>
        <w:jc w:val="both"/>
        <w:rPr>
          <w:rFonts w:eastAsiaTheme="minorEastAsia" w:cs="David"/>
          <w:sz w:val="24"/>
          <w:szCs w:val="24"/>
          <w:rtl/>
        </w:rPr>
      </w:pPr>
      <w:r>
        <w:rPr>
          <w:rFonts w:eastAsiaTheme="minorEastAsia" w:cs="David" w:hint="cs"/>
          <w:b/>
          <w:bCs/>
          <w:sz w:val="24"/>
          <w:szCs w:val="24"/>
          <w:rtl/>
        </w:rPr>
        <w:t xml:space="preserve">לגבי יחיד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שיעור המס הקבוע בסעיף 125ב </w:t>
      </w:r>
      <w:r>
        <w:rPr>
          <w:rFonts w:eastAsiaTheme="minorEastAsia" w:cs="David"/>
          <w:sz w:val="24"/>
          <w:szCs w:val="24"/>
          <w:rtl/>
        </w:rPr>
        <w:t>–</w:t>
      </w:r>
      <w:r>
        <w:rPr>
          <w:rFonts w:eastAsiaTheme="minorEastAsia" w:cs="David" w:hint="cs"/>
          <w:sz w:val="24"/>
          <w:szCs w:val="24"/>
          <w:rtl/>
        </w:rPr>
        <w:t xml:space="preserve"> 30%</w:t>
      </w:r>
    </w:p>
    <w:p w:rsidR="00F77598" w:rsidRDefault="00F77598" w:rsidP="00632593">
      <w:pPr>
        <w:spacing w:line="360" w:lineRule="auto"/>
        <w:jc w:val="both"/>
        <w:rPr>
          <w:rFonts w:eastAsiaTheme="minorEastAsia" w:cs="David"/>
          <w:sz w:val="24"/>
          <w:szCs w:val="24"/>
          <w:rtl/>
        </w:rPr>
      </w:pPr>
      <w:r>
        <w:rPr>
          <w:rFonts w:eastAsiaTheme="minorEastAsia" w:cs="David" w:hint="cs"/>
          <w:b/>
          <w:bCs/>
          <w:sz w:val="24"/>
          <w:szCs w:val="24"/>
          <w:rtl/>
        </w:rPr>
        <w:t xml:space="preserve">לגבי חברה </w:t>
      </w:r>
      <w:r>
        <w:rPr>
          <w:rFonts w:eastAsiaTheme="minorEastAsia" w:cs="David"/>
          <w:b/>
          <w:bCs/>
          <w:sz w:val="24"/>
          <w:szCs w:val="24"/>
          <w:rtl/>
        </w:rPr>
        <w:t>–</w:t>
      </w:r>
      <w:r>
        <w:rPr>
          <w:rFonts w:eastAsiaTheme="minorEastAsia" w:cs="David" w:hint="cs"/>
          <w:sz w:val="24"/>
          <w:szCs w:val="24"/>
          <w:rtl/>
        </w:rPr>
        <w:t xml:space="preserve"> בשיעור המס הקבוע בסעיף 126(ג) </w:t>
      </w:r>
      <w:r>
        <w:rPr>
          <w:rFonts w:eastAsiaTheme="minorEastAsia" w:cs="David"/>
          <w:sz w:val="24"/>
          <w:szCs w:val="24"/>
          <w:rtl/>
        </w:rPr>
        <w:t>–</w:t>
      </w:r>
      <w:r>
        <w:rPr>
          <w:rFonts w:eastAsiaTheme="minorEastAsia" w:cs="David" w:hint="cs"/>
          <w:sz w:val="24"/>
          <w:szCs w:val="24"/>
          <w:rtl/>
        </w:rPr>
        <w:t xml:space="preserve"> 25%</w:t>
      </w:r>
    </w:p>
    <w:p w:rsidR="00F77598" w:rsidRDefault="00F77598" w:rsidP="00632593">
      <w:pPr>
        <w:spacing w:line="360" w:lineRule="auto"/>
        <w:jc w:val="both"/>
        <w:rPr>
          <w:rFonts w:eastAsiaTheme="minorEastAsia" w:cs="David" w:hint="cs"/>
          <w:sz w:val="24"/>
          <w:szCs w:val="24"/>
          <w:rtl/>
        </w:rPr>
      </w:pPr>
      <w:r>
        <w:rPr>
          <w:rFonts w:eastAsiaTheme="minorEastAsia" w:cs="David" w:hint="cs"/>
          <w:sz w:val="24"/>
          <w:szCs w:val="24"/>
          <w:rtl/>
        </w:rPr>
        <w:t>סכום הרווחים שלא שולמו שייוחסו לבע"ש, יהיה שווה לרווחים שלא שולמו * הזכויות ברווח של בע"ש בחנ"ז</w:t>
      </w:r>
    </w:p>
    <w:p w:rsidR="00F77598" w:rsidRDefault="00F77598" w:rsidP="00632593">
      <w:pPr>
        <w:spacing w:line="360" w:lineRule="auto"/>
        <w:jc w:val="both"/>
        <w:rPr>
          <w:rFonts w:eastAsiaTheme="minorEastAsia" w:cs="David" w:hint="cs"/>
          <w:b/>
          <w:bCs/>
          <w:sz w:val="24"/>
          <w:szCs w:val="24"/>
          <w:rtl/>
        </w:rPr>
      </w:pPr>
      <w:r>
        <w:rPr>
          <w:rFonts w:eastAsiaTheme="minorEastAsia" w:cs="David" w:hint="cs"/>
          <w:b/>
          <w:bCs/>
          <w:sz w:val="24"/>
          <w:szCs w:val="24"/>
          <w:rtl/>
        </w:rPr>
        <w:t xml:space="preserve">לדוגמא : </w:t>
      </w:r>
    </w:p>
    <w:p w:rsidR="00F77598" w:rsidRDefault="00BD1469" w:rsidP="00F77598">
      <w:pPr>
        <w:spacing w:line="360" w:lineRule="auto"/>
        <w:ind w:left="360"/>
        <w:jc w:val="both"/>
        <w:rPr>
          <w:rFonts w:eastAsiaTheme="minorEastAsia" w:cs="David"/>
          <w:b/>
          <w:bCs/>
          <w:sz w:val="24"/>
          <w:szCs w:val="24"/>
          <w:rtl/>
        </w:rPr>
      </w:pPr>
      <w:r>
        <w:rPr>
          <w:rFonts w:eastAsiaTheme="minorEastAsia" w:cs="David"/>
          <w:b/>
          <w:bCs/>
          <w:noProof/>
          <w:sz w:val="24"/>
          <w:szCs w:val="24"/>
          <w:rtl/>
        </w:rPr>
        <w:drawing>
          <wp:inline distT="0" distB="0" distL="0" distR="0">
            <wp:extent cx="2482232" cy="1662546"/>
            <wp:effectExtent l="0" t="38100" r="0" b="7112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1469" w:rsidRDefault="00BD1469" w:rsidP="00632593">
      <w:pPr>
        <w:spacing w:line="360" w:lineRule="auto"/>
        <w:jc w:val="both"/>
        <w:rPr>
          <w:rFonts w:eastAsiaTheme="minorEastAsia" w:cs="David"/>
          <w:sz w:val="24"/>
          <w:szCs w:val="24"/>
          <w:rtl/>
        </w:rPr>
      </w:pPr>
      <w:r w:rsidRPr="00BD1469">
        <w:rPr>
          <w:rFonts w:eastAsiaTheme="minorEastAsia" w:cs="David" w:hint="cs"/>
          <w:sz w:val="24"/>
          <w:szCs w:val="24"/>
          <w:rtl/>
        </w:rPr>
        <w:t>נניח שחברה זרה סווגה כחנ"ז</w:t>
      </w:r>
      <w:r>
        <w:rPr>
          <w:rFonts w:eastAsiaTheme="minorEastAsia" w:cs="David" w:hint="cs"/>
          <w:sz w:val="24"/>
          <w:szCs w:val="24"/>
          <w:rtl/>
        </w:rPr>
        <w:t xml:space="preserve"> בשנת המס 2015. ושילמה בגין דיבידנד של 1,000 </w:t>
      </w:r>
      <w:r>
        <w:rPr>
          <w:rFonts w:eastAsiaTheme="minorEastAsia" w:cs="David" w:hint="eastAsia"/>
          <w:sz w:val="24"/>
          <w:szCs w:val="24"/>
          <w:rtl/>
        </w:rPr>
        <w:t>₪</w:t>
      </w:r>
      <w:r>
        <w:rPr>
          <w:rFonts w:eastAsiaTheme="minorEastAsia" w:cs="David" w:hint="cs"/>
          <w:sz w:val="24"/>
          <w:szCs w:val="24"/>
          <w:rtl/>
        </w:rPr>
        <w:t xml:space="preserve"> מס של 250</w:t>
      </w:r>
      <w:r>
        <w:rPr>
          <w:rFonts w:eastAsiaTheme="minorEastAsia" w:cs="David" w:hint="eastAsia"/>
          <w:sz w:val="24"/>
          <w:szCs w:val="24"/>
          <w:rtl/>
        </w:rPr>
        <w:t>₪</w:t>
      </w:r>
      <w:r w:rsidR="00632593">
        <w:rPr>
          <w:rFonts w:eastAsiaTheme="minorEastAsia" w:cs="David" w:hint="cs"/>
          <w:sz w:val="24"/>
          <w:szCs w:val="24"/>
          <w:rtl/>
        </w:rPr>
        <w:t xml:space="preserve">. בשנת 2019 החברה מחלקת את סכום ההכנסה שחויב במס כדיבידנד רעיוני כדינבידנד בפועל לבע"ש </w:t>
      </w:r>
      <w:r>
        <w:rPr>
          <w:rFonts w:eastAsiaTheme="minorEastAsia" w:cs="David" w:hint="cs"/>
          <w:sz w:val="24"/>
          <w:szCs w:val="24"/>
          <w:rtl/>
        </w:rPr>
        <w:t>בהתאם לסעיף 75ב(</w:t>
      </w:r>
      <w:r w:rsidR="00632593">
        <w:rPr>
          <w:rFonts w:eastAsiaTheme="minorEastAsia" w:cs="David" w:hint="cs"/>
          <w:sz w:val="24"/>
          <w:szCs w:val="24"/>
          <w:rtl/>
        </w:rPr>
        <w:t>ד</w:t>
      </w:r>
      <w:r>
        <w:rPr>
          <w:rFonts w:eastAsiaTheme="minorEastAsia" w:cs="David" w:hint="cs"/>
          <w:sz w:val="24"/>
          <w:szCs w:val="24"/>
          <w:rtl/>
        </w:rPr>
        <w:t>) סכום הדיבידנד שיחולק בשנת המס 2018 יהיה פטור ממס (לפני תיקון 198 לא חלה שיטת הפטור בעת חלוקת הדיבידנד בפועל אלא שיטת הזיכוי)</w:t>
      </w:r>
    </w:p>
    <w:p w:rsidR="00BD1469" w:rsidRDefault="00BD1469" w:rsidP="00632593">
      <w:pPr>
        <w:spacing w:line="360" w:lineRule="auto"/>
        <w:jc w:val="both"/>
        <w:rPr>
          <w:rFonts w:eastAsiaTheme="minorEastAsia" w:cs="David"/>
          <w:sz w:val="24"/>
          <w:szCs w:val="24"/>
          <w:rtl/>
        </w:rPr>
      </w:pPr>
      <w:r>
        <w:rPr>
          <w:rFonts w:eastAsiaTheme="minorEastAsia" w:cs="David" w:hint="cs"/>
          <w:sz w:val="24"/>
          <w:szCs w:val="24"/>
          <w:rtl/>
        </w:rPr>
        <w:t xml:space="preserve">נניח שבשנת 2015 לבע"ש שאמור היה להתחייב במס על הדיבידנד הרעיוני יש הפסד שוטף מעסק של (1,000) </w:t>
      </w:r>
      <w:r>
        <w:rPr>
          <w:rFonts w:eastAsiaTheme="minorEastAsia" w:cs="David" w:hint="eastAsia"/>
          <w:sz w:val="24"/>
          <w:szCs w:val="24"/>
          <w:rtl/>
        </w:rPr>
        <w:t>₪</w:t>
      </w:r>
      <w:r>
        <w:rPr>
          <w:rFonts w:eastAsiaTheme="minorEastAsia" w:cs="David" w:hint="cs"/>
          <w:sz w:val="24"/>
          <w:szCs w:val="24"/>
          <w:rtl/>
        </w:rPr>
        <w:t xml:space="preserve"> וגם הדיבידנד הרעיוני הוא 1,000 במקרה זה סעיף 28(א) מחייב לקזז את ההפסד כנגד הדיבידנד הרעיוני. במקרה זה לא משולם מס על הדיבידנד הרעיוני. ונשאלת השאלה על הדיבידנד שיחולק בשנת 2018 </w:t>
      </w:r>
      <w:r>
        <w:rPr>
          <w:rFonts w:eastAsiaTheme="minorEastAsia" w:cs="David"/>
          <w:sz w:val="24"/>
          <w:szCs w:val="24"/>
          <w:rtl/>
        </w:rPr>
        <w:t>–</w:t>
      </w:r>
      <w:r>
        <w:rPr>
          <w:rFonts w:eastAsiaTheme="minorEastAsia" w:cs="David" w:hint="cs"/>
          <w:sz w:val="24"/>
          <w:szCs w:val="24"/>
          <w:rtl/>
        </w:rPr>
        <w:t xml:space="preserve"> סעיף 75ב(ד) קובע במפורש שדים קיזוז הפסד או ניכוי הוצאה כנגד הדיבידנד הרעיוני הוא כדין תשלום מס על הדיבידנד הרעיוני ולכן גם במקרה זה הדיבידנד שיחולק בפועל יהיה פטור. </w:t>
      </w:r>
    </w:p>
    <w:p w:rsidR="00632593" w:rsidRDefault="00632593" w:rsidP="00632593">
      <w:pPr>
        <w:spacing w:line="360" w:lineRule="auto"/>
        <w:jc w:val="center"/>
        <w:rPr>
          <w:rFonts w:eastAsiaTheme="minorEastAsia" w:cs="David"/>
          <w:b/>
          <w:bCs/>
          <w:sz w:val="24"/>
          <w:szCs w:val="24"/>
          <w:u w:val="single"/>
          <w:rtl/>
        </w:rPr>
      </w:pPr>
      <w:r w:rsidRPr="00632593">
        <w:rPr>
          <w:rFonts w:eastAsiaTheme="minorEastAsia" w:cs="David" w:hint="cs"/>
          <w:b/>
          <w:bCs/>
          <w:sz w:val="24"/>
          <w:szCs w:val="24"/>
          <w:u w:val="single"/>
          <w:rtl/>
        </w:rPr>
        <w:t>מכירת מניות החנ"ז</w:t>
      </w:r>
    </w:p>
    <w:p w:rsidR="00632593" w:rsidRDefault="00632593" w:rsidP="00442933">
      <w:pPr>
        <w:spacing w:line="360" w:lineRule="auto"/>
        <w:jc w:val="both"/>
        <w:rPr>
          <w:rFonts w:eastAsiaTheme="minorEastAsia" w:cs="David"/>
          <w:b/>
          <w:bCs/>
          <w:sz w:val="24"/>
          <w:szCs w:val="24"/>
          <w:rtl/>
        </w:rPr>
      </w:pPr>
      <w:r>
        <w:rPr>
          <w:rFonts w:eastAsiaTheme="minorEastAsia" w:cs="David" w:hint="cs"/>
          <w:b/>
          <w:bCs/>
          <w:sz w:val="24"/>
          <w:szCs w:val="24"/>
          <w:rtl/>
        </w:rPr>
        <w:t xml:space="preserve">חברה תושבת ישראל מחזיקה בחנ"ז שיש לה רווחים שלא חולקו של 1,000 </w:t>
      </w:r>
      <w:r>
        <w:rPr>
          <w:rFonts w:eastAsiaTheme="minorEastAsia" w:cs="David" w:hint="eastAsia"/>
          <w:b/>
          <w:bCs/>
          <w:sz w:val="24"/>
          <w:szCs w:val="24"/>
          <w:rtl/>
        </w:rPr>
        <w:t>₪</w:t>
      </w:r>
      <w:r>
        <w:rPr>
          <w:rFonts w:eastAsiaTheme="minorEastAsia" w:cs="David" w:hint="cs"/>
          <w:b/>
          <w:bCs/>
          <w:sz w:val="24"/>
          <w:szCs w:val="24"/>
          <w:rtl/>
        </w:rPr>
        <w:t xml:space="preserve"> בשנות המס 2015, 2016, 2017. שנתחייבו במס בישראל כדיבידנד רעיוני.ביום 01/01/18 מניות החנ"ז נמכרות תמורת 6,000 </w:t>
      </w:r>
      <w:r>
        <w:rPr>
          <w:rFonts w:eastAsiaTheme="minorEastAsia" w:cs="David" w:hint="eastAsia"/>
          <w:b/>
          <w:bCs/>
          <w:sz w:val="24"/>
          <w:szCs w:val="24"/>
          <w:rtl/>
        </w:rPr>
        <w:t>₪</w:t>
      </w:r>
      <w:r>
        <w:rPr>
          <w:rFonts w:eastAsiaTheme="minorEastAsia" w:cs="David" w:hint="cs"/>
          <w:b/>
          <w:bCs/>
          <w:sz w:val="24"/>
          <w:szCs w:val="24"/>
          <w:rtl/>
        </w:rPr>
        <w:t xml:space="preserve"> הניחו כי הרווחים שנתחייבו במס כדיבידנד רעיוני לא חולקו לישראל כדיבידנד.</w:t>
      </w:r>
    </w:p>
    <w:p w:rsidR="00632593" w:rsidRDefault="00632593" w:rsidP="00442933">
      <w:pPr>
        <w:spacing w:line="360" w:lineRule="auto"/>
        <w:jc w:val="both"/>
        <w:rPr>
          <w:rFonts w:eastAsiaTheme="minorEastAsia" w:cs="David"/>
          <w:sz w:val="24"/>
          <w:szCs w:val="24"/>
          <w:rtl/>
        </w:rPr>
      </w:pPr>
      <w:r>
        <w:rPr>
          <w:rFonts w:eastAsiaTheme="minorEastAsia" w:cs="David" w:hint="cs"/>
          <w:sz w:val="24"/>
          <w:szCs w:val="24"/>
          <w:rtl/>
        </w:rPr>
        <w:t>בעת מכירת מניות החנ"ז יש להפחית מהתמורה ששולמה עבור המניות את הרווחים של החנ"ז שהתחייבו במס כדיבידנד רעיוני ולא חולקו כדיבידנד בפועל לישראל. לכן במקרה שלנו התמורה שתיוחס לבע"ש בעת חישוב רוו"ה תיהיה 3,000</w:t>
      </w:r>
    </w:p>
    <w:p w:rsidR="00442933" w:rsidRDefault="00442933" w:rsidP="00442933">
      <w:pPr>
        <w:spacing w:line="360" w:lineRule="auto"/>
        <w:jc w:val="both"/>
        <w:rPr>
          <w:rFonts w:eastAsiaTheme="minorEastAsia" w:cs="David" w:hint="cs"/>
          <w:sz w:val="24"/>
          <w:szCs w:val="24"/>
          <w:rtl/>
        </w:rPr>
      </w:pPr>
      <w:r>
        <w:rPr>
          <w:rFonts w:eastAsiaTheme="minorEastAsia" w:cs="David" w:hint="cs"/>
          <w:sz w:val="24"/>
          <w:szCs w:val="24"/>
          <w:rtl/>
        </w:rPr>
        <w:lastRenderedPageBreak/>
        <w:t>בהמשך לדוגמא : נניח שחולק דיבידנד בשנת 2017 ע"ס 1,500 וביום 01/01/18 המניות נמכרות תמורת 5,000.</w:t>
      </w:r>
    </w:p>
    <w:p w:rsidR="00442933" w:rsidRDefault="00442933" w:rsidP="00442933">
      <w:pPr>
        <w:spacing w:line="360" w:lineRule="auto"/>
        <w:jc w:val="both"/>
        <w:rPr>
          <w:rFonts w:eastAsiaTheme="minorEastAsia" w:cs="David"/>
          <w:b/>
          <w:bCs/>
          <w:sz w:val="24"/>
          <w:szCs w:val="24"/>
          <w:rtl/>
        </w:rPr>
      </w:pPr>
      <w:r>
        <w:rPr>
          <w:rFonts w:eastAsiaTheme="minorEastAsia" w:cs="David" w:hint="cs"/>
          <w:sz w:val="24"/>
          <w:szCs w:val="24"/>
          <w:rtl/>
        </w:rPr>
        <w:t xml:space="preserve">במקרה זה נפחית מהתמורה 1,500 בלבד היות וסכום של 1,500 </w:t>
      </w:r>
      <w:r>
        <w:rPr>
          <w:rFonts w:eastAsiaTheme="minorEastAsia" w:cs="David" w:hint="eastAsia"/>
          <w:sz w:val="24"/>
          <w:szCs w:val="24"/>
          <w:rtl/>
        </w:rPr>
        <w:t>₪</w:t>
      </w:r>
      <w:r>
        <w:rPr>
          <w:rFonts w:eastAsiaTheme="minorEastAsia" w:cs="David" w:hint="cs"/>
          <w:sz w:val="24"/>
          <w:szCs w:val="24"/>
          <w:rtl/>
        </w:rPr>
        <w:t xml:space="preserve"> חולקו עוד לפני המכירה כדיבידנד פטור ולכן רק לגבי סכום של 1,500 קיימת סכנה של כפל פטור וסכום זה יופחת מהתמורה. </w:t>
      </w:r>
    </w:p>
    <w:p w:rsidR="00442933" w:rsidRDefault="00442933" w:rsidP="00442933">
      <w:pPr>
        <w:pStyle w:val="a7"/>
        <w:numPr>
          <w:ilvl w:val="0"/>
          <w:numId w:val="16"/>
        </w:numPr>
        <w:spacing w:line="360" w:lineRule="auto"/>
        <w:jc w:val="both"/>
        <w:rPr>
          <w:rFonts w:eastAsiaTheme="minorEastAsia" w:cs="David"/>
          <w:sz w:val="24"/>
          <w:szCs w:val="24"/>
        </w:rPr>
      </w:pPr>
      <w:r w:rsidRPr="00442933">
        <w:rPr>
          <w:rFonts w:eastAsiaTheme="minorEastAsia" w:cs="David" w:hint="cs"/>
          <w:sz w:val="24"/>
          <w:szCs w:val="24"/>
          <w:rtl/>
        </w:rPr>
        <w:t xml:space="preserve">לפני תיקון 198 ההתחשבות בגין סכום הדיבידנד שהתחייב במס בשנים קודמות בעת מכירת מניות ההחנ"ז היתה באמצעות מתן זיכוי ולא בדרך של הפחתת התמורה. </w:t>
      </w:r>
    </w:p>
    <w:p w:rsidR="00442933" w:rsidRDefault="00442933" w:rsidP="00442933">
      <w:pPr>
        <w:pStyle w:val="a7"/>
        <w:numPr>
          <w:ilvl w:val="0"/>
          <w:numId w:val="16"/>
        </w:numPr>
        <w:spacing w:line="360" w:lineRule="auto"/>
        <w:jc w:val="both"/>
        <w:rPr>
          <w:rFonts w:eastAsiaTheme="minorEastAsia" w:cs="David"/>
          <w:sz w:val="24"/>
          <w:szCs w:val="24"/>
        </w:rPr>
      </w:pPr>
      <w:r>
        <w:rPr>
          <w:rFonts w:eastAsiaTheme="minorEastAsia" w:cs="David" w:hint="cs"/>
          <w:sz w:val="24"/>
          <w:szCs w:val="24"/>
          <w:rtl/>
        </w:rPr>
        <w:t xml:space="preserve">גם בעת מכירת מניות החנ"ז בדומה לחלוקת דיבידנד בפועל יראו בקיזוז הפסד או בניכוי הוצאה כנגד הדיבידנד הרעיוני כתשלום מס . </w:t>
      </w:r>
    </w:p>
    <w:p w:rsidR="00113AEF" w:rsidRDefault="00113AEF" w:rsidP="00113AEF">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התחשבות במס הזר</w:t>
      </w:r>
    </w:p>
    <w:p w:rsidR="00113AEF" w:rsidRDefault="00113AEF" w:rsidP="00113AEF">
      <w:pPr>
        <w:spacing w:line="360" w:lineRule="auto"/>
        <w:jc w:val="both"/>
        <w:rPr>
          <w:rFonts w:eastAsiaTheme="minorEastAsia" w:cs="David"/>
          <w:sz w:val="24"/>
          <w:szCs w:val="24"/>
          <w:rtl/>
        </w:rPr>
      </w:pPr>
      <w:r>
        <w:rPr>
          <w:rFonts w:eastAsiaTheme="minorEastAsia" w:cs="David" w:hint="cs"/>
          <w:sz w:val="24"/>
          <w:szCs w:val="24"/>
          <w:rtl/>
        </w:rPr>
        <w:t xml:space="preserve">פעמים רבות מוטל על הרווחים של החנ"ז מס זר כשהם מחולקים כדיבידנד בפועל לישראל. לפני תיקון 198 סעיף 175(ג) שבוטל הקנה זיכוי רעיוני בגין מס זר שהיה מוטל </w:t>
      </w:r>
      <w:r>
        <w:rPr>
          <w:rFonts w:eastAsiaTheme="minorEastAsia" w:cs="David" w:hint="cs"/>
          <w:b/>
          <w:bCs/>
          <w:sz w:val="24"/>
          <w:szCs w:val="24"/>
          <w:rtl/>
        </w:rPr>
        <w:t xml:space="preserve">אילו </w:t>
      </w:r>
      <w:r>
        <w:rPr>
          <w:rFonts w:eastAsiaTheme="minorEastAsia" w:cs="David" w:hint="cs"/>
          <w:sz w:val="24"/>
          <w:szCs w:val="24"/>
          <w:rtl/>
        </w:rPr>
        <w:t xml:space="preserve">הרווחים שלא שולמו היו מחולקים כדיבידנד לתושב ישראל. </w:t>
      </w:r>
    </w:p>
    <w:p w:rsidR="00640EE4" w:rsidRDefault="00113AEF" w:rsidP="00113AEF">
      <w:pPr>
        <w:spacing w:line="360" w:lineRule="auto"/>
        <w:jc w:val="both"/>
        <w:rPr>
          <w:rFonts w:eastAsiaTheme="minorEastAsia" w:cs="David" w:hint="cs"/>
          <w:sz w:val="24"/>
          <w:szCs w:val="24"/>
          <w:rtl/>
        </w:rPr>
      </w:pPr>
      <w:r>
        <w:rPr>
          <w:rFonts w:eastAsiaTheme="minorEastAsia" w:cs="David" w:hint="cs"/>
          <w:sz w:val="24"/>
          <w:szCs w:val="24"/>
          <w:rtl/>
        </w:rPr>
        <w:t>נניח שלחברה תושבת אוסטריה יש רווחים שלא שולמו בסך 1,000 ושיעור ניכוי המס במקור בין ישראל לאוסטריה עומד על 25% כלומר</w:t>
      </w:r>
      <w:r w:rsidR="00640EE4">
        <w:rPr>
          <w:rFonts w:eastAsiaTheme="minorEastAsia" w:cs="David" w:hint="cs"/>
          <w:sz w:val="24"/>
          <w:szCs w:val="24"/>
          <w:rtl/>
        </w:rPr>
        <w:t xml:space="preserve">, בעת חלוקת דיבידנד בפועל מאוסטריה לישראל האוסטרים מטילים מס על הדיבידנד בשיעור של 25% </w:t>
      </w:r>
    </w:p>
    <w:p w:rsidR="00640EE4" w:rsidRDefault="00640EE4" w:rsidP="00640EE4">
      <w:pPr>
        <w:spacing w:line="360" w:lineRule="auto"/>
        <w:jc w:val="both"/>
        <w:rPr>
          <w:rFonts w:eastAsiaTheme="minorEastAsia" w:cs="David" w:hint="cs"/>
          <w:sz w:val="24"/>
          <w:szCs w:val="24"/>
          <w:rtl/>
        </w:rPr>
      </w:pPr>
      <w:r>
        <w:rPr>
          <w:rFonts w:eastAsiaTheme="minorEastAsia" w:cs="David" w:hint="cs"/>
          <w:b/>
          <w:bCs/>
          <w:sz w:val="24"/>
          <w:szCs w:val="24"/>
          <w:rtl/>
        </w:rPr>
        <w:t xml:space="preserve">סעיף 75ב(ג) </w:t>
      </w:r>
      <w:r>
        <w:rPr>
          <w:rFonts w:eastAsiaTheme="minorEastAsia" w:cs="David" w:hint="cs"/>
          <w:sz w:val="24"/>
          <w:szCs w:val="24"/>
          <w:rtl/>
        </w:rPr>
        <w:t xml:space="preserve">קבע כי בגין המס שחל על הדיבידנד הרעיוני יש לתת זיכוי רעיוני על המס שינוכה ע"י מ"ה האוסטרי בעת חלוקת הדיבדנד בעתיד. החל מתיקון 198 לא יינתן זיכוי רעיוני בגין מס זר והזיכוי יינתן רק בעת התשלום בפועל </w:t>
      </w:r>
    </w:p>
    <w:p w:rsidR="00640EE4" w:rsidRDefault="00640EE4" w:rsidP="00640EE4">
      <w:pPr>
        <w:spacing w:line="360" w:lineRule="auto"/>
        <w:jc w:val="both"/>
        <w:rPr>
          <w:rFonts w:eastAsiaTheme="minorEastAsia" w:cs="David"/>
          <w:sz w:val="24"/>
          <w:szCs w:val="24"/>
          <w:rtl/>
        </w:rPr>
      </w:pPr>
      <w:r>
        <w:rPr>
          <w:rFonts w:eastAsiaTheme="minorEastAsia" w:cs="David" w:hint="cs"/>
          <w:b/>
          <w:bCs/>
          <w:sz w:val="24"/>
          <w:szCs w:val="24"/>
          <w:rtl/>
        </w:rPr>
        <w:t xml:space="preserve">סעיף 75ב(ד1) </w:t>
      </w:r>
      <w:r>
        <w:rPr>
          <w:rFonts w:eastAsiaTheme="minorEastAsia" w:cs="David" w:hint="cs"/>
          <w:sz w:val="24"/>
          <w:szCs w:val="24"/>
          <w:rtl/>
        </w:rPr>
        <w:t>קובע מנגנון פיצוי בשל המס הזר שהוטל בעת חלוקת הדיבידנד בפועל בהתאם למדרג הבא :</w:t>
      </w:r>
    </w:p>
    <w:p w:rsidR="00BC2C05" w:rsidRDefault="00640EE4" w:rsidP="00640EE4">
      <w:pPr>
        <w:pStyle w:val="a7"/>
        <w:numPr>
          <w:ilvl w:val="0"/>
          <w:numId w:val="17"/>
        </w:numPr>
        <w:spacing w:line="360" w:lineRule="auto"/>
        <w:jc w:val="both"/>
        <w:rPr>
          <w:rFonts w:eastAsiaTheme="minorEastAsia" w:cs="David"/>
          <w:sz w:val="24"/>
          <w:szCs w:val="24"/>
        </w:rPr>
      </w:pPr>
      <w:r>
        <w:rPr>
          <w:rFonts w:eastAsiaTheme="minorEastAsia" w:cs="David" w:hint="cs"/>
          <w:sz w:val="24"/>
          <w:szCs w:val="24"/>
          <w:rtl/>
        </w:rPr>
        <w:t xml:space="preserve">המס הזר יזוכה תחילה כנגד המס החל בישראל על הכנסות שהופקו מחוץ </w:t>
      </w:r>
      <w:r w:rsidR="00BC2C05">
        <w:rPr>
          <w:rFonts w:eastAsiaTheme="minorEastAsia" w:cs="David" w:hint="cs"/>
          <w:sz w:val="24"/>
          <w:szCs w:val="24"/>
          <w:rtl/>
        </w:rPr>
        <w:t>לישראל.</w:t>
      </w:r>
    </w:p>
    <w:p w:rsidR="00BC2C05" w:rsidRDefault="00BC2C05" w:rsidP="00640EE4">
      <w:pPr>
        <w:pStyle w:val="a7"/>
        <w:numPr>
          <w:ilvl w:val="0"/>
          <w:numId w:val="17"/>
        </w:numPr>
        <w:spacing w:line="360" w:lineRule="auto"/>
        <w:jc w:val="both"/>
        <w:rPr>
          <w:rFonts w:eastAsiaTheme="minorEastAsia" w:cs="David"/>
          <w:sz w:val="24"/>
          <w:szCs w:val="24"/>
        </w:rPr>
      </w:pPr>
      <w:r>
        <w:rPr>
          <w:rFonts w:eastAsiaTheme="minorEastAsia" w:cs="David" w:hint="cs"/>
          <w:sz w:val="24"/>
          <w:szCs w:val="24"/>
          <w:rtl/>
        </w:rPr>
        <w:t>אם נותרה יתרה המס הזר יזוכה כנגד הככנסה מכל מקור שהופקה בישראל.</w:t>
      </w:r>
    </w:p>
    <w:p w:rsidR="00BC2C05" w:rsidRDefault="00BC2C05" w:rsidP="00640EE4">
      <w:pPr>
        <w:pStyle w:val="a7"/>
        <w:numPr>
          <w:ilvl w:val="0"/>
          <w:numId w:val="17"/>
        </w:numPr>
        <w:spacing w:line="360" w:lineRule="auto"/>
        <w:jc w:val="both"/>
        <w:rPr>
          <w:rFonts w:eastAsiaTheme="minorEastAsia" w:cs="David"/>
          <w:sz w:val="24"/>
          <w:szCs w:val="24"/>
        </w:rPr>
      </w:pPr>
      <w:r>
        <w:rPr>
          <w:rFonts w:eastAsiaTheme="minorEastAsia" w:cs="David" w:hint="cs"/>
          <w:sz w:val="24"/>
          <w:szCs w:val="24"/>
          <w:rtl/>
        </w:rPr>
        <w:t>אם נשארה יתרה המס הזר יוחזר לנישום ע"י רשות המיסים.</w:t>
      </w:r>
    </w:p>
    <w:p w:rsidR="00733735" w:rsidRDefault="00BC2C05" w:rsidP="00BC2C05">
      <w:pPr>
        <w:spacing w:line="360" w:lineRule="auto"/>
        <w:jc w:val="both"/>
        <w:rPr>
          <w:rFonts w:eastAsiaTheme="minorEastAsia" w:cs="David"/>
          <w:sz w:val="24"/>
          <w:szCs w:val="24"/>
          <w:rtl/>
        </w:rPr>
      </w:pPr>
      <w:r>
        <w:rPr>
          <w:rFonts w:eastAsiaTheme="minorEastAsia" w:cs="David" w:hint="cs"/>
          <w:sz w:val="24"/>
          <w:szCs w:val="24"/>
          <w:rtl/>
        </w:rPr>
        <w:t xml:space="preserve">סכום הזיכוי או הפיצוי הכספי שיינתן לנישום בגין המס הזר שיוטל לא יעלה על סכום המס שיוטל בפועל או על סכום המס שהוטל בישראל לפי סעיף 75ב כשהוא מתואם למדד. </w:t>
      </w:r>
    </w:p>
    <w:p w:rsidR="00113AEF" w:rsidRDefault="00733735" w:rsidP="00733735">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t xml:space="preserve">חברת משלח יד זרה </w:t>
      </w:r>
      <w:r>
        <w:rPr>
          <w:rFonts w:eastAsiaTheme="minorEastAsia" w:cs="David"/>
          <w:b/>
          <w:bCs/>
          <w:sz w:val="24"/>
          <w:szCs w:val="24"/>
          <w:u w:val="single"/>
          <w:rtl/>
        </w:rPr>
        <w:t>–</w:t>
      </w:r>
      <w:r>
        <w:rPr>
          <w:rFonts w:eastAsiaTheme="minorEastAsia" w:cs="David" w:hint="cs"/>
          <w:b/>
          <w:bCs/>
          <w:sz w:val="24"/>
          <w:szCs w:val="24"/>
          <w:u w:val="single"/>
          <w:rtl/>
        </w:rPr>
        <w:t xml:space="preserve"> חמי"ז</w:t>
      </w:r>
    </w:p>
    <w:p w:rsidR="00733735" w:rsidRDefault="00733735" w:rsidP="002B6AE7">
      <w:pPr>
        <w:spacing w:line="360" w:lineRule="auto"/>
        <w:jc w:val="both"/>
        <w:rPr>
          <w:rFonts w:eastAsiaTheme="minorEastAsia" w:cs="David" w:hint="cs"/>
          <w:sz w:val="24"/>
          <w:szCs w:val="24"/>
          <w:rtl/>
        </w:rPr>
      </w:pPr>
      <w:r>
        <w:rPr>
          <w:rFonts w:eastAsiaTheme="minorEastAsia" w:cs="David" w:hint="cs"/>
          <w:b/>
          <w:bCs/>
          <w:sz w:val="24"/>
          <w:szCs w:val="24"/>
          <w:rtl/>
        </w:rPr>
        <w:t xml:space="preserve">סעיף 75ב1 </w:t>
      </w:r>
      <w:r>
        <w:rPr>
          <w:rFonts w:eastAsiaTheme="minorEastAsia" w:cs="David" w:hint="cs"/>
          <w:sz w:val="24"/>
          <w:szCs w:val="24"/>
          <w:rtl/>
        </w:rPr>
        <w:t>משטר החמי"</w:t>
      </w:r>
      <w:r w:rsidR="002B6AE7">
        <w:rPr>
          <w:rFonts w:eastAsiaTheme="minorEastAsia" w:cs="David" w:hint="cs"/>
          <w:sz w:val="24"/>
          <w:szCs w:val="24"/>
          <w:rtl/>
        </w:rPr>
        <w:t xml:space="preserve">ז בא להילחם בהסתה מלאכותית של הכנסות משרותים לישות מס זרה תוך הפחתת שעור המס השולי לשיעור המס החל על דיבידנד ודחיית מועד אירוע המס למועד חלוקת הדיבידנד בפועל. על מנת לעקוף את משטר החמי"ז נקבעה בסעיף 5(5) לפני תיקון 198 הוראה על פיה יראו את הכנסות החמי"ז הנובעות ממשלח יד מיוחד כאילו הופקו בישראל. הפיקציה שבסעיף 5 התנגשה עם הוראות סעיף 7 לאמנת המס לפיה לא ניתן למסות רווחים של חברה תושבת מדינת אמנה אם אין לה מושב קבע בישראל לכן בתיקון 198 שונה המנגנון שיחול על החמי"ז כדלקמן : </w:t>
      </w:r>
    </w:p>
    <w:p w:rsidR="002B6AE7" w:rsidRPr="002B6AE7" w:rsidRDefault="002B6AE7" w:rsidP="002B6AE7">
      <w:pPr>
        <w:pStyle w:val="a7"/>
        <w:numPr>
          <w:ilvl w:val="0"/>
          <w:numId w:val="18"/>
        </w:numPr>
        <w:spacing w:line="360" w:lineRule="auto"/>
        <w:jc w:val="both"/>
        <w:rPr>
          <w:rFonts w:eastAsiaTheme="minorEastAsia" w:cs="David" w:hint="cs"/>
          <w:sz w:val="24"/>
          <w:szCs w:val="24"/>
          <w:u w:val="single"/>
        </w:rPr>
      </w:pPr>
      <w:r>
        <w:rPr>
          <w:rFonts w:eastAsiaTheme="minorEastAsia" w:cs="David" w:hint="cs"/>
          <w:sz w:val="24"/>
          <w:szCs w:val="24"/>
          <w:rtl/>
        </w:rPr>
        <w:lastRenderedPageBreak/>
        <w:t xml:space="preserve">בשנת ההפקה של ההכנסות ממשלח יד מיוחד יראו אותן כאילו הן חולקו כדיבידנד רעיוני לבע"ש </w:t>
      </w:r>
    </w:p>
    <w:p w:rsidR="002B6AE7" w:rsidRPr="002B6AE7" w:rsidRDefault="002B6AE7" w:rsidP="002B6AE7">
      <w:pPr>
        <w:pStyle w:val="a7"/>
        <w:numPr>
          <w:ilvl w:val="0"/>
          <w:numId w:val="18"/>
        </w:numPr>
        <w:spacing w:line="360" w:lineRule="auto"/>
        <w:jc w:val="both"/>
        <w:rPr>
          <w:rFonts w:eastAsiaTheme="minorEastAsia" w:cs="David"/>
          <w:sz w:val="24"/>
          <w:szCs w:val="24"/>
          <w:u w:val="single"/>
        </w:rPr>
      </w:pPr>
      <w:r>
        <w:rPr>
          <w:rFonts w:eastAsiaTheme="minorEastAsia" w:cs="David" w:hint="cs"/>
          <w:sz w:val="24"/>
          <w:szCs w:val="24"/>
          <w:rtl/>
        </w:rPr>
        <w:t xml:space="preserve">בשנת החלוקה בפועל של הדיבידנד יחול חיוב במס בגין הדיבידנד המחולק ללא מתן זיכוי על המס שחל על הדיבידנד הרעיוני. </w:t>
      </w:r>
    </w:p>
    <w:p w:rsidR="002B6AE7" w:rsidRDefault="002B6AE7" w:rsidP="002B6AE7">
      <w:pPr>
        <w:spacing w:line="360" w:lineRule="auto"/>
        <w:ind w:left="360"/>
        <w:rPr>
          <w:rFonts w:eastAsiaTheme="minorEastAsia" w:cs="David"/>
          <w:sz w:val="24"/>
          <w:szCs w:val="24"/>
          <w:rtl/>
        </w:rPr>
      </w:pPr>
      <w:r w:rsidRPr="002B6AE7">
        <w:rPr>
          <w:rFonts w:eastAsiaTheme="minorEastAsia" w:cs="David" w:hint="cs"/>
          <w:sz w:val="24"/>
          <w:szCs w:val="24"/>
          <w:rtl/>
        </w:rPr>
        <w:t>חברת משלח יד זרה מוגדרת כחברה זרה שחלים עליה כל אלה</w:t>
      </w:r>
      <w:r>
        <w:rPr>
          <w:rFonts w:eastAsiaTheme="minorEastAsia" w:cs="David" w:hint="cs"/>
          <w:sz w:val="24"/>
          <w:szCs w:val="24"/>
          <w:rtl/>
        </w:rPr>
        <w:t>:</w:t>
      </w:r>
    </w:p>
    <w:p w:rsidR="002B6AE7" w:rsidRDefault="002B6AE7" w:rsidP="002B6AE7">
      <w:pPr>
        <w:pStyle w:val="a7"/>
        <w:numPr>
          <w:ilvl w:val="0"/>
          <w:numId w:val="19"/>
        </w:numPr>
        <w:spacing w:line="360" w:lineRule="auto"/>
        <w:rPr>
          <w:rFonts w:eastAsiaTheme="minorEastAsia" w:cs="David" w:hint="cs"/>
          <w:sz w:val="24"/>
          <w:szCs w:val="24"/>
        </w:rPr>
      </w:pPr>
      <w:r>
        <w:rPr>
          <w:rFonts w:eastAsiaTheme="minorEastAsia" w:cs="David" w:hint="cs"/>
          <w:sz w:val="24"/>
          <w:szCs w:val="24"/>
          <w:rtl/>
        </w:rPr>
        <w:t>אם היא חברה אז היא חברת מעטים</w:t>
      </w:r>
    </w:p>
    <w:p w:rsidR="002B6AE7" w:rsidRDefault="002B6AE7" w:rsidP="002B6AE7">
      <w:pPr>
        <w:pStyle w:val="a7"/>
        <w:numPr>
          <w:ilvl w:val="0"/>
          <w:numId w:val="19"/>
        </w:numPr>
        <w:spacing w:line="360" w:lineRule="auto"/>
        <w:rPr>
          <w:rFonts w:eastAsiaTheme="minorEastAsia" w:cs="David"/>
          <w:sz w:val="24"/>
          <w:szCs w:val="24"/>
        </w:rPr>
      </w:pPr>
      <w:r>
        <w:rPr>
          <w:rFonts w:eastAsiaTheme="minorEastAsia" w:cs="David" w:hint="cs"/>
          <w:sz w:val="24"/>
          <w:szCs w:val="24"/>
          <w:rtl/>
        </w:rPr>
        <w:t xml:space="preserve">75% מאמצעי השליטה בחברה מוחזקים ע"י תושבי ישראל במישרין או בעקיפין לעניין זה תושב ישראל לא יכללו : תושב ישראל לראשונה או </w:t>
      </w:r>
      <w:r w:rsidR="0041092E">
        <w:rPr>
          <w:rFonts w:eastAsiaTheme="minorEastAsia" w:cs="David" w:hint="cs"/>
          <w:sz w:val="24"/>
          <w:szCs w:val="24"/>
          <w:rtl/>
        </w:rPr>
        <w:t>תושב חוזר ותיק כהגדרתם בסעיף 14(א).</w:t>
      </w:r>
    </w:p>
    <w:p w:rsidR="002B6AE7" w:rsidRDefault="002B6AE7" w:rsidP="002B6AE7">
      <w:pPr>
        <w:pStyle w:val="a7"/>
        <w:numPr>
          <w:ilvl w:val="0"/>
          <w:numId w:val="19"/>
        </w:numPr>
        <w:spacing w:line="360" w:lineRule="auto"/>
        <w:rPr>
          <w:rFonts w:eastAsiaTheme="minorEastAsia" w:cs="David" w:hint="cs"/>
          <w:sz w:val="24"/>
          <w:szCs w:val="24"/>
        </w:rPr>
      </w:pPr>
      <w:r>
        <w:rPr>
          <w:rFonts w:eastAsiaTheme="minorEastAsia" w:cs="David" w:hint="cs"/>
          <w:sz w:val="24"/>
          <w:szCs w:val="24"/>
          <w:rtl/>
        </w:rPr>
        <w:t>מעל 50% מבע"ש עוסקים במשלח יד עבור החמי"ז</w:t>
      </w:r>
    </w:p>
    <w:p w:rsidR="002B6AE7" w:rsidRDefault="002B6AE7" w:rsidP="002B6AE7">
      <w:pPr>
        <w:pStyle w:val="a7"/>
        <w:numPr>
          <w:ilvl w:val="0"/>
          <w:numId w:val="19"/>
        </w:numPr>
        <w:spacing w:line="360" w:lineRule="auto"/>
        <w:rPr>
          <w:rFonts w:eastAsiaTheme="minorEastAsia" w:cs="David" w:hint="cs"/>
          <w:sz w:val="24"/>
          <w:szCs w:val="24"/>
        </w:rPr>
      </w:pPr>
      <w:r>
        <w:rPr>
          <w:rFonts w:eastAsiaTheme="minorEastAsia" w:cs="David" w:hint="cs"/>
          <w:sz w:val="24"/>
          <w:szCs w:val="24"/>
          <w:rtl/>
        </w:rPr>
        <w:t xml:space="preserve">מרבית הכנסותיה או רווחיה של החברה הזרה נובעים ממשלח יד מיוחד </w:t>
      </w:r>
    </w:p>
    <w:p w:rsidR="002B6AE7" w:rsidRDefault="002B6AE7" w:rsidP="002B6AE7">
      <w:pPr>
        <w:pStyle w:val="a7"/>
        <w:spacing w:line="360" w:lineRule="auto"/>
        <w:rPr>
          <w:rFonts w:eastAsiaTheme="minorEastAsia" w:cs="David" w:hint="cs"/>
          <w:sz w:val="24"/>
          <w:szCs w:val="24"/>
          <w:rtl/>
        </w:rPr>
      </w:pPr>
      <w:r>
        <w:rPr>
          <w:rFonts w:eastAsiaTheme="minorEastAsia" w:cs="David" w:hint="cs"/>
          <w:b/>
          <w:bCs/>
          <w:sz w:val="24"/>
          <w:szCs w:val="24"/>
          <w:rtl/>
        </w:rPr>
        <w:t xml:space="preserve">משלח יד מיוחד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מוגדר בצו מ"ה מכח סעיף 5(5) בו יש רשימה סגורה של מקצועות בהם יראו משלח יד מיוחד</w:t>
      </w:r>
      <w:r w:rsidR="0041092E">
        <w:rPr>
          <w:rFonts w:eastAsiaTheme="minorEastAsia" w:cs="David" w:hint="cs"/>
          <w:sz w:val="24"/>
          <w:szCs w:val="24"/>
          <w:rtl/>
        </w:rPr>
        <w:t>.</w:t>
      </w:r>
    </w:p>
    <w:p w:rsidR="0041092E" w:rsidRDefault="0041092E" w:rsidP="002B6AE7">
      <w:pPr>
        <w:spacing w:line="360" w:lineRule="auto"/>
        <w:rPr>
          <w:rFonts w:eastAsiaTheme="minorEastAsia" w:cs="David" w:hint="cs"/>
          <w:b/>
          <w:bCs/>
          <w:sz w:val="24"/>
          <w:szCs w:val="24"/>
          <w:u w:val="single"/>
          <w:rtl/>
        </w:rPr>
      </w:pPr>
      <w:r>
        <w:rPr>
          <w:rFonts w:eastAsiaTheme="minorEastAsia" w:cs="David" w:hint="cs"/>
          <w:b/>
          <w:bCs/>
          <w:sz w:val="24"/>
          <w:szCs w:val="24"/>
          <w:u w:val="single"/>
          <w:rtl/>
        </w:rPr>
        <w:t xml:space="preserve">הטבות לעולים חדשים ותושבים חוזרים </w:t>
      </w:r>
    </w:p>
    <w:p w:rsidR="0041092E" w:rsidRDefault="0041092E" w:rsidP="002B6AE7">
      <w:pPr>
        <w:spacing w:line="360" w:lineRule="auto"/>
        <w:rPr>
          <w:rFonts w:eastAsiaTheme="minorEastAsia" w:cs="David"/>
          <w:sz w:val="24"/>
          <w:szCs w:val="24"/>
          <w:rtl/>
        </w:rPr>
      </w:pPr>
      <w:r>
        <w:rPr>
          <w:rFonts w:eastAsiaTheme="minorEastAsia" w:cs="David" w:hint="cs"/>
          <w:sz w:val="24"/>
          <w:szCs w:val="24"/>
          <w:rtl/>
        </w:rPr>
        <w:t>בפקודת מ"ה יש הטבות מס לשלושה סוגי יחידים כדלקמן:</w:t>
      </w:r>
    </w:p>
    <w:p w:rsidR="0041092E" w:rsidRDefault="0041092E" w:rsidP="0041092E">
      <w:pPr>
        <w:pStyle w:val="a7"/>
        <w:numPr>
          <w:ilvl w:val="0"/>
          <w:numId w:val="20"/>
        </w:numPr>
        <w:spacing w:line="360" w:lineRule="auto"/>
        <w:rPr>
          <w:rFonts w:eastAsiaTheme="minorEastAsia" w:cs="David" w:hint="cs"/>
          <w:sz w:val="24"/>
          <w:szCs w:val="24"/>
        </w:rPr>
      </w:pPr>
      <w:r>
        <w:rPr>
          <w:rFonts w:eastAsiaTheme="minorEastAsia" w:cs="David" w:hint="cs"/>
          <w:sz w:val="24"/>
          <w:szCs w:val="24"/>
          <w:rtl/>
        </w:rPr>
        <w:t xml:space="preserve">תושב ישראל ב 14(א)- הכוונה למי שמעולה לא היה תושב ישראל גם לא כילד ונהייה תושב ישראל לראשונה </w:t>
      </w:r>
    </w:p>
    <w:p w:rsidR="0041092E" w:rsidRDefault="0041092E" w:rsidP="0041092E">
      <w:pPr>
        <w:pStyle w:val="a7"/>
        <w:numPr>
          <w:ilvl w:val="0"/>
          <w:numId w:val="20"/>
        </w:numPr>
        <w:spacing w:line="360" w:lineRule="auto"/>
        <w:rPr>
          <w:rFonts w:eastAsiaTheme="minorEastAsia" w:cs="David" w:hint="cs"/>
          <w:sz w:val="24"/>
          <w:szCs w:val="24"/>
        </w:rPr>
      </w:pPr>
      <w:r w:rsidRPr="0041092E">
        <w:rPr>
          <w:rFonts w:eastAsiaTheme="minorEastAsia" w:cs="David" w:hint="cs"/>
          <w:sz w:val="24"/>
          <w:szCs w:val="24"/>
          <w:rtl/>
        </w:rPr>
        <w:t xml:space="preserve">תושב חוזר ותיק 14(א) </w:t>
      </w:r>
      <w:r w:rsidRPr="0041092E">
        <w:rPr>
          <w:rFonts w:eastAsiaTheme="minorEastAsia" w:cs="David"/>
          <w:sz w:val="24"/>
          <w:szCs w:val="24"/>
          <w:rtl/>
        </w:rPr>
        <w:t>–</w:t>
      </w:r>
      <w:r w:rsidRPr="0041092E">
        <w:rPr>
          <w:rFonts w:eastAsiaTheme="minorEastAsia" w:cs="David" w:hint="cs"/>
          <w:sz w:val="24"/>
          <w:szCs w:val="24"/>
          <w:rtl/>
        </w:rPr>
        <w:t xml:space="preserve"> מי שהיה תושב ישראל </w:t>
      </w:r>
      <w:r>
        <w:rPr>
          <w:rFonts w:eastAsiaTheme="minorEastAsia" w:cs="David" w:hint="cs"/>
          <w:sz w:val="24"/>
          <w:szCs w:val="24"/>
          <w:rtl/>
        </w:rPr>
        <w:t xml:space="preserve">בעבר הפך להיות תושב חוץ במשך 10 שנים רצופות לפחות וחזר להיות תושב ישראל </w:t>
      </w:r>
    </w:p>
    <w:p w:rsidR="0041092E" w:rsidRDefault="0041092E" w:rsidP="0041092E">
      <w:pPr>
        <w:pStyle w:val="a7"/>
        <w:numPr>
          <w:ilvl w:val="0"/>
          <w:numId w:val="20"/>
        </w:numPr>
        <w:spacing w:line="360" w:lineRule="auto"/>
        <w:rPr>
          <w:rFonts w:eastAsiaTheme="minorEastAsia" w:cs="David"/>
          <w:sz w:val="24"/>
          <w:szCs w:val="24"/>
        </w:rPr>
      </w:pPr>
      <w:r>
        <w:rPr>
          <w:rFonts w:eastAsiaTheme="minorEastAsia" w:cs="David" w:hint="cs"/>
          <w:sz w:val="24"/>
          <w:szCs w:val="24"/>
          <w:rtl/>
        </w:rPr>
        <w:t xml:space="preserve">תושב חוזר רגיל 14(ג) </w:t>
      </w:r>
      <w:r>
        <w:rPr>
          <w:rFonts w:eastAsiaTheme="minorEastAsia" w:cs="David"/>
          <w:sz w:val="24"/>
          <w:szCs w:val="24"/>
          <w:rtl/>
        </w:rPr>
        <w:t>–</w:t>
      </w:r>
      <w:r>
        <w:rPr>
          <w:rFonts w:eastAsiaTheme="minorEastAsia" w:cs="David" w:hint="cs"/>
          <w:sz w:val="24"/>
          <w:szCs w:val="24"/>
          <w:rtl/>
        </w:rPr>
        <w:t xml:space="preserve"> מי שהיה תושב ישראל והפך להיות תושב חוץ למשך 6 שנים רצופות לפחות וחזר להיות תושב ישראל.</w:t>
      </w:r>
    </w:p>
    <w:p w:rsidR="0041092E" w:rsidRDefault="0041092E" w:rsidP="0041092E">
      <w:pPr>
        <w:spacing w:line="360" w:lineRule="auto"/>
        <w:ind w:left="360"/>
        <w:rPr>
          <w:rFonts w:eastAsiaTheme="minorEastAsia" w:cs="David"/>
          <w:sz w:val="24"/>
          <w:szCs w:val="24"/>
          <w:rtl/>
        </w:rPr>
      </w:pPr>
      <w:r>
        <w:rPr>
          <w:rFonts w:eastAsiaTheme="minorEastAsia" w:cs="David" w:hint="cs"/>
          <w:sz w:val="24"/>
          <w:szCs w:val="24"/>
          <w:rtl/>
        </w:rPr>
        <w:t xml:space="preserve">ההטבות הניתנות לתושב ישראל לראשונה ולתושב חוזר ותיק הן זהות ולכן מעתה נקרא להם </w:t>
      </w:r>
      <w:r w:rsidRPr="0041092E">
        <w:rPr>
          <w:rFonts w:eastAsiaTheme="minorEastAsia" w:cs="David" w:hint="cs"/>
          <w:b/>
          <w:bCs/>
          <w:sz w:val="24"/>
          <w:szCs w:val="24"/>
          <w:rtl/>
        </w:rPr>
        <w:t>יחיד מוטב</w:t>
      </w:r>
    </w:p>
    <w:p w:rsidR="0041092E" w:rsidRPr="001C3945" w:rsidRDefault="0041092E" w:rsidP="001C3945">
      <w:pPr>
        <w:spacing w:line="360" w:lineRule="auto"/>
        <w:rPr>
          <w:rFonts w:eastAsiaTheme="minorEastAsia" w:cs="David"/>
          <w:b/>
          <w:bCs/>
          <w:sz w:val="24"/>
          <w:szCs w:val="24"/>
          <w:u w:val="single"/>
          <w:rtl/>
        </w:rPr>
      </w:pPr>
      <w:r w:rsidRPr="001C3945">
        <w:rPr>
          <w:rFonts w:eastAsiaTheme="minorEastAsia" w:cs="David" w:hint="cs"/>
          <w:b/>
          <w:bCs/>
          <w:sz w:val="24"/>
          <w:szCs w:val="24"/>
          <w:u w:val="single"/>
          <w:rtl/>
        </w:rPr>
        <w:t>הטבות ליחיד מוטב:</w:t>
      </w:r>
    </w:p>
    <w:p w:rsidR="0041092E" w:rsidRDefault="0041092E" w:rsidP="001C3945">
      <w:pPr>
        <w:spacing w:line="360" w:lineRule="auto"/>
        <w:jc w:val="both"/>
        <w:rPr>
          <w:rFonts w:eastAsiaTheme="minorEastAsia" w:cs="David"/>
          <w:sz w:val="24"/>
          <w:szCs w:val="24"/>
          <w:rtl/>
        </w:rPr>
      </w:pPr>
      <w:r>
        <w:rPr>
          <w:rFonts w:eastAsiaTheme="minorEastAsia" w:cs="David" w:hint="cs"/>
          <w:sz w:val="24"/>
          <w:szCs w:val="24"/>
          <w:rtl/>
        </w:rPr>
        <w:t xml:space="preserve">יחיד מוטב יהיה פטור למשך 10 שנים מהיום שעלה לישראל או חזר לישראל על כל ההכנסות שהוא הפיק מחוץ לישראל מכל מקורות ההכנסה וזאת ללא תלות אם הנכס שהניב את ההכנסה נרכש לפני החזרה לישראל או העליה לישראל או בתקופת 10 שנות ההטבה. </w:t>
      </w:r>
    </w:p>
    <w:p w:rsidR="0041092E" w:rsidRDefault="0041092E" w:rsidP="001C3945">
      <w:pPr>
        <w:spacing w:line="360" w:lineRule="auto"/>
        <w:jc w:val="both"/>
        <w:rPr>
          <w:rFonts w:eastAsiaTheme="minorEastAsia" w:cs="David"/>
          <w:sz w:val="24"/>
          <w:szCs w:val="24"/>
          <w:rtl/>
        </w:rPr>
      </w:pPr>
      <w:r>
        <w:rPr>
          <w:rFonts w:eastAsiaTheme="minorEastAsia" w:cs="David" w:hint="cs"/>
          <w:sz w:val="24"/>
          <w:szCs w:val="24"/>
          <w:rtl/>
        </w:rPr>
        <w:t>לגבי רוו"ה אם הנכס נמכר לאחר תום 10 שנות ההטבה חלק מרווח ההון יהיה חייב וחלקו יהיה פטור. החלק הפטור יהיה שווה :</w:t>
      </w:r>
    </w:p>
    <w:p w:rsidR="001C3945" w:rsidRDefault="0041092E" w:rsidP="001C3945">
      <w:pPr>
        <w:spacing w:line="360" w:lineRule="auto"/>
        <w:jc w:val="both"/>
        <w:rPr>
          <w:rFonts w:eastAsiaTheme="minorEastAsia" w:cs="David"/>
          <w:sz w:val="24"/>
          <w:szCs w:val="24"/>
          <w:rtl/>
        </w:rPr>
      </w:pPr>
      <w:r>
        <w:rPr>
          <w:rFonts w:eastAsiaTheme="minorEastAsia" w:cs="David" w:hint="cs"/>
          <w:sz w:val="24"/>
          <w:szCs w:val="24"/>
          <w:rtl/>
        </w:rPr>
        <w:t xml:space="preserve">רוו"ה * </w:t>
      </w:r>
      <w:r w:rsidR="001C3945">
        <w:rPr>
          <w:rFonts w:eastAsiaTheme="minorEastAsia" w:cs="David" w:hint="cs"/>
          <w:sz w:val="24"/>
          <w:szCs w:val="24"/>
          <w:rtl/>
        </w:rPr>
        <w:t xml:space="preserve">מספר השנים משנת הרכישה ועד תום תקופת ההטבה חלקי </w:t>
      </w:r>
      <w:r>
        <w:rPr>
          <w:rFonts w:eastAsiaTheme="minorEastAsia" w:cs="David" w:hint="cs"/>
          <w:sz w:val="24"/>
          <w:szCs w:val="24"/>
          <w:rtl/>
        </w:rPr>
        <w:t>סה"כ שנות החזקה</w:t>
      </w:r>
      <w:r w:rsidR="001C3945">
        <w:rPr>
          <w:rFonts w:eastAsiaTheme="minorEastAsia" w:cs="David" w:hint="cs"/>
          <w:sz w:val="24"/>
          <w:szCs w:val="24"/>
          <w:rtl/>
        </w:rPr>
        <w:t>.</w:t>
      </w:r>
    </w:p>
    <w:p w:rsidR="001C3945" w:rsidRDefault="001C3945" w:rsidP="001C3945">
      <w:pPr>
        <w:spacing w:line="360" w:lineRule="auto"/>
        <w:jc w:val="both"/>
        <w:rPr>
          <w:rFonts w:eastAsiaTheme="minorEastAsia" w:cs="David" w:hint="cs"/>
          <w:sz w:val="24"/>
          <w:szCs w:val="24"/>
          <w:rtl/>
        </w:rPr>
      </w:pPr>
      <w:r>
        <w:rPr>
          <w:rFonts w:eastAsiaTheme="minorEastAsia" w:cs="David" w:hint="cs"/>
          <w:sz w:val="24"/>
          <w:szCs w:val="24"/>
          <w:rtl/>
        </w:rPr>
        <w:t xml:space="preserve">למשל : אדם עלה לישראל ב-2010 רכש נכס ב-2005 ומכר אותו ב-2025 רוו"ה 2,000,000 </w:t>
      </w:r>
      <w:r>
        <w:rPr>
          <w:rFonts w:eastAsiaTheme="minorEastAsia" w:cs="David" w:hint="eastAsia"/>
          <w:sz w:val="24"/>
          <w:szCs w:val="24"/>
          <w:rtl/>
        </w:rPr>
        <w:t>₪</w:t>
      </w:r>
      <w:r>
        <w:rPr>
          <w:rFonts w:eastAsiaTheme="minorEastAsia" w:cs="David" w:hint="cs"/>
          <w:sz w:val="24"/>
          <w:szCs w:val="24"/>
          <w:rtl/>
        </w:rPr>
        <w:t xml:space="preserve"> </w:t>
      </w:r>
    </w:p>
    <w:p w:rsidR="002B6AE7" w:rsidRPr="0041092E" w:rsidRDefault="001C3945" w:rsidP="001C3945">
      <w:pPr>
        <w:spacing w:line="360" w:lineRule="auto"/>
        <w:jc w:val="both"/>
        <w:rPr>
          <w:rFonts w:eastAsiaTheme="minorEastAsia" w:cs="David"/>
          <w:sz w:val="24"/>
          <w:szCs w:val="24"/>
          <w:rtl/>
        </w:rPr>
      </w:pPr>
      <w:r>
        <w:rPr>
          <w:rFonts w:eastAsiaTheme="minorEastAsia" w:cs="David" w:hint="cs"/>
          <w:sz w:val="24"/>
          <w:szCs w:val="24"/>
          <w:rtl/>
        </w:rPr>
        <w:t xml:space="preserve">אז 1,500,000 פטור ו-500,000 חייב. </w:t>
      </w:r>
      <w:r w:rsidR="0041092E">
        <w:rPr>
          <w:rFonts w:eastAsiaTheme="minorEastAsia" w:cs="David" w:hint="cs"/>
          <w:sz w:val="24"/>
          <w:szCs w:val="24"/>
          <w:rtl/>
        </w:rPr>
        <w:t xml:space="preserve">  </w:t>
      </w:r>
      <w:r w:rsidR="002B6AE7" w:rsidRPr="0041092E">
        <w:rPr>
          <w:rFonts w:eastAsiaTheme="minorEastAsia" w:cs="David" w:hint="cs"/>
          <w:sz w:val="24"/>
          <w:szCs w:val="24"/>
          <w:rtl/>
        </w:rPr>
        <w:t xml:space="preserve"> </w:t>
      </w:r>
    </w:p>
    <w:p w:rsidR="00733735" w:rsidRDefault="001C3945" w:rsidP="00733735">
      <w:pPr>
        <w:spacing w:line="360" w:lineRule="auto"/>
        <w:rPr>
          <w:rFonts w:eastAsiaTheme="minorEastAsia" w:cs="David" w:hint="cs"/>
          <w:sz w:val="24"/>
          <w:szCs w:val="24"/>
          <w:rtl/>
        </w:rPr>
      </w:pPr>
      <w:r>
        <w:rPr>
          <w:rFonts w:eastAsiaTheme="minorEastAsia" w:cs="David" w:hint="cs"/>
          <w:sz w:val="24"/>
          <w:szCs w:val="24"/>
          <w:rtl/>
        </w:rPr>
        <w:lastRenderedPageBreak/>
        <w:t xml:space="preserve">הטבה נוספת ליחיד מוטב היא שלא יראו בחברה זרה שמוחזקת על ידו כנשלטת או מנוהלת בישראל הטבה זו תיהיה בתוקף למשך 10 שנים </w:t>
      </w:r>
    </w:p>
    <w:p w:rsidR="001C3945" w:rsidRDefault="001C3945" w:rsidP="001C3945">
      <w:pPr>
        <w:spacing w:line="360" w:lineRule="auto"/>
        <w:jc w:val="both"/>
        <w:rPr>
          <w:rFonts w:eastAsiaTheme="minorEastAsia" w:cs="David"/>
          <w:sz w:val="24"/>
          <w:szCs w:val="24"/>
          <w:rtl/>
        </w:rPr>
      </w:pPr>
      <w:r>
        <w:rPr>
          <w:rFonts w:eastAsiaTheme="minorEastAsia" w:cs="David" w:hint="cs"/>
          <w:sz w:val="24"/>
          <w:szCs w:val="24"/>
          <w:rtl/>
        </w:rPr>
        <w:t>יחיד מוטב לא יחשב לתושב ישראל בעת מניין תושבי ישראל בחנ"ז ובחמי"ז.</w:t>
      </w:r>
    </w:p>
    <w:p w:rsidR="001C3945" w:rsidRPr="00733735" w:rsidRDefault="001C3945" w:rsidP="001C3945">
      <w:pPr>
        <w:spacing w:line="360" w:lineRule="auto"/>
        <w:jc w:val="both"/>
        <w:rPr>
          <w:rFonts w:eastAsiaTheme="minorEastAsia" w:cs="David"/>
          <w:sz w:val="24"/>
          <w:szCs w:val="24"/>
          <w:rtl/>
        </w:rPr>
      </w:pPr>
      <w:r>
        <w:rPr>
          <w:rFonts w:eastAsiaTheme="minorEastAsia" w:cs="David" w:hint="cs"/>
          <w:sz w:val="24"/>
          <w:szCs w:val="24"/>
          <w:rtl/>
        </w:rPr>
        <w:t>יחיד מוטב פטור מדיווח על הכנסות ונכסים שיש לו מחוץ לישראל במשך 10 שנות ההטבה שלו .</w:t>
      </w:r>
    </w:p>
    <w:p w:rsidR="00442933" w:rsidRPr="001C3945" w:rsidRDefault="001C3945" w:rsidP="00442933">
      <w:pPr>
        <w:spacing w:line="360" w:lineRule="auto"/>
        <w:jc w:val="both"/>
        <w:rPr>
          <w:rFonts w:eastAsiaTheme="minorEastAsia" w:cs="David"/>
          <w:b/>
          <w:bCs/>
          <w:sz w:val="24"/>
          <w:szCs w:val="24"/>
          <w:u w:val="single"/>
          <w:rtl/>
        </w:rPr>
      </w:pPr>
      <w:r w:rsidRPr="001C3945">
        <w:rPr>
          <w:rFonts w:eastAsiaTheme="minorEastAsia" w:cs="David" w:hint="cs"/>
          <w:b/>
          <w:bCs/>
          <w:sz w:val="24"/>
          <w:szCs w:val="24"/>
          <w:u w:val="single"/>
          <w:rtl/>
        </w:rPr>
        <w:t>תושב חוזר סעיף 14(ג)</w:t>
      </w:r>
    </w:p>
    <w:p w:rsidR="001C3945" w:rsidRDefault="001C3945" w:rsidP="001C3945">
      <w:pPr>
        <w:spacing w:line="360" w:lineRule="auto"/>
        <w:jc w:val="both"/>
        <w:rPr>
          <w:rFonts w:eastAsiaTheme="minorEastAsia" w:cs="David"/>
          <w:sz w:val="24"/>
          <w:szCs w:val="24"/>
          <w:rtl/>
        </w:rPr>
      </w:pPr>
      <w:r>
        <w:rPr>
          <w:rFonts w:eastAsiaTheme="minorEastAsia" w:cs="David" w:hint="cs"/>
          <w:sz w:val="24"/>
          <w:szCs w:val="24"/>
          <w:rtl/>
        </w:rPr>
        <w:t>הסעיף מקנה לתושב חוזר פטור ממס ל-5 שנים מעת חזרתו לישראל על הכנסות פאסיביות שהופקו מחוץ לישראל (ריבית , הפרשי הצמדה, דיבידנד, תמלוגים, קיצבה, דמ"ש) ובלבד שהנכס שמניב את ההכנסה נרכש בעת שהיה תושב חוץ (לפני שחזר)</w:t>
      </w:r>
    </w:p>
    <w:p w:rsidR="001C3945" w:rsidRDefault="001C3945" w:rsidP="001C3945">
      <w:pPr>
        <w:spacing w:line="360" w:lineRule="auto"/>
        <w:jc w:val="both"/>
        <w:rPr>
          <w:rFonts w:eastAsiaTheme="minorEastAsia" w:cs="David" w:hint="cs"/>
          <w:sz w:val="24"/>
          <w:szCs w:val="24"/>
          <w:rtl/>
        </w:rPr>
      </w:pPr>
      <w:r>
        <w:rPr>
          <w:rFonts w:eastAsiaTheme="minorEastAsia" w:cs="David" w:hint="cs"/>
          <w:b/>
          <w:bCs/>
          <w:sz w:val="24"/>
          <w:szCs w:val="24"/>
          <w:rtl/>
        </w:rPr>
        <w:t xml:space="preserve">חריג לעניין הכנסות מריבית ודיבידנד : </w:t>
      </w:r>
      <w:r>
        <w:rPr>
          <w:rFonts w:eastAsiaTheme="minorEastAsia" w:cs="David" w:hint="cs"/>
          <w:sz w:val="24"/>
          <w:szCs w:val="24"/>
          <w:rtl/>
        </w:rPr>
        <w:t>הוא הכנסות הנובעות מני"ע מוטבים</w:t>
      </w:r>
    </w:p>
    <w:p w:rsidR="001C3945" w:rsidRDefault="001C3945" w:rsidP="001C3945">
      <w:pPr>
        <w:spacing w:line="360" w:lineRule="auto"/>
        <w:jc w:val="both"/>
        <w:rPr>
          <w:rFonts w:eastAsiaTheme="minorEastAsia" w:cs="David"/>
          <w:sz w:val="24"/>
          <w:szCs w:val="24"/>
          <w:rtl/>
        </w:rPr>
      </w:pPr>
      <w:r>
        <w:rPr>
          <w:rFonts w:eastAsiaTheme="minorEastAsia" w:cs="David" w:hint="cs"/>
          <w:b/>
          <w:bCs/>
          <w:sz w:val="24"/>
          <w:szCs w:val="24"/>
          <w:rtl/>
        </w:rPr>
        <w:t xml:space="preserve">ני"ע מוטבים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ני"ע שנסחרים בבורסה מחוץ לישראל המנוהלים במוסד בנקאי זר וכן ני"ע שנרכשו מכספים שמקורם באותם ני"ע מוטבים כלומר, לגבי ני"ע מוטב שהוא ני"ע נסחר שמתנהל בבנק זר בחשבון מזוהה ספציפית אין הגבלה למועד רכישת ני"ע כלומר , גם אם ני"ע נרכש בתקופת ההטבות של ה-5 שנים הריבית והדיבידנד ממנו יהיו פטורים.</w:t>
      </w:r>
    </w:p>
    <w:p w:rsidR="008023BB" w:rsidRDefault="001C3945" w:rsidP="001C3945">
      <w:pPr>
        <w:spacing w:line="360" w:lineRule="auto"/>
        <w:jc w:val="both"/>
        <w:rPr>
          <w:rFonts w:eastAsiaTheme="minorEastAsia" w:cs="David"/>
          <w:sz w:val="24"/>
          <w:szCs w:val="24"/>
          <w:rtl/>
        </w:rPr>
      </w:pPr>
      <w:r>
        <w:rPr>
          <w:rFonts w:eastAsiaTheme="minorEastAsia" w:cs="David" w:hint="cs"/>
          <w:b/>
          <w:bCs/>
          <w:sz w:val="24"/>
          <w:szCs w:val="24"/>
          <w:rtl/>
        </w:rPr>
        <w:t xml:space="preserve">סעיף 97(ב)(2)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מקנה לתושב חוזר פטור ממס על רוו"</w:t>
      </w:r>
      <w:r w:rsidR="008023BB">
        <w:rPr>
          <w:rFonts w:eastAsiaTheme="minorEastAsia" w:cs="David" w:hint="cs"/>
          <w:sz w:val="24"/>
          <w:szCs w:val="24"/>
          <w:rtl/>
        </w:rPr>
        <w:t>ה מנכס מחוץ לישראל שנרכש</w:t>
      </w:r>
      <w:r>
        <w:rPr>
          <w:rFonts w:eastAsiaTheme="minorEastAsia" w:cs="David" w:hint="cs"/>
          <w:sz w:val="24"/>
          <w:szCs w:val="24"/>
          <w:rtl/>
        </w:rPr>
        <w:t xml:space="preserve"> בזמן היותו תושב חוץ ובלבד שהנכס אינו מהווה זכות במישרין או בעקיפין לנכס בישראל.</w:t>
      </w:r>
      <w:r w:rsidR="008023BB">
        <w:rPr>
          <w:rFonts w:eastAsiaTheme="minorEastAsia" w:cs="David" w:hint="cs"/>
          <w:sz w:val="24"/>
          <w:szCs w:val="24"/>
          <w:rtl/>
        </w:rPr>
        <w:t xml:space="preserve"> הפטור על רוו"ה ינתן אם הנכס נמכר תוך 10 שנים מיום החזרה לישראל אם הנכס נמכר לאחר תום 10 השנים מיום החזרה לישראל יחול פטור יחסי כאשר החלק הפטור יהיה שווה לרוו"ה כפול משפר השנים משנת הרכישה ועד תום תקופת ההטבה חלקי סה"כ שנות החזקה. </w:t>
      </w:r>
    </w:p>
    <w:p w:rsidR="008023BB" w:rsidRDefault="008023BB" w:rsidP="001C3945">
      <w:pPr>
        <w:spacing w:line="360" w:lineRule="auto"/>
        <w:jc w:val="both"/>
        <w:rPr>
          <w:rFonts w:eastAsiaTheme="minorEastAsia" w:cs="David" w:hint="cs"/>
          <w:sz w:val="24"/>
          <w:szCs w:val="24"/>
          <w:rtl/>
        </w:rPr>
      </w:pPr>
      <w:r>
        <w:rPr>
          <w:rFonts w:eastAsiaTheme="minorEastAsia" w:cs="David" w:hint="cs"/>
          <w:b/>
          <w:bCs/>
          <w:sz w:val="24"/>
          <w:szCs w:val="24"/>
          <w:rtl/>
        </w:rPr>
        <w:t xml:space="preserve">חריג לעניין מועד הרכישה של הנכס שמניב את רוו"ה הפטור : </w:t>
      </w:r>
      <w:r>
        <w:rPr>
          <w:rFonts w:eastAsiaTheme="minorEastAsia" w:cs="David" w:hint="cs"/>
          <w:sz w:val="24"/>
          <w:szCs w:val="24"/>
          <w:rtl/>
        </w:rPr>
        <w:t xml:space="preserve">הוא רוו"ה הנובע מני"ע מוטב כלומר, ני"ע שנסחר בבורסה זרה ומוחזק בפיקדון בתאגיד בנקאי זר שהיה לתושב החוזר לפני שהוא חזר לישראל. </w:t>
      </w:r>
    </w:p>
    <w:p w:rsidR="008023BB" w:rsidRDefault="008023BB" w:rsidP="008023BB">
      <w:pPr>
        <w:spacing w:line="360" w:lineRule="auto"/>
        <w:jc w:val="both"/>
        <w:rPr>
          <w:rFonts w:eastAsiaTheme="minorEastAsia" w:cs="David"/>
          <w:b/>
          <w:bCs/>
          <w:sz w:val="24"/>
          <w:szCs w:val="24"/>
          <w:rtl/>
        </w:rPr>
      </w:pPr>
      <w:r>
        <w:rPr>
          <w:rFonts w:eastAsiaTheme="minorEastAsia" w:cs="David" w:hint="cs"/>
          <w:b/>
          <w:bCs/>
          <w:sz w:val="24"/>
          <w:szCs w:val="24"/>
          <w:rtl/>
        </w:rPr>
        <w:t>לתושב חוזר אין את ההקלה לעניין השליטה והניהול של שליטה זרה הוא לא פטור מדיווח והוא כן נחשב כתושב ישראל לעניין החנ"ז והחמי"ז.</w:t>
      </w:r>
    </w:p>
    <w:p w:rsidR="002351B6" w:rsidRPr="002351B6" w:rsidRDefault="002351B6" w:rsidP="002351B6">
      <w:pPr>
        <w:spacing w:line="360" w:lineRule="auto"/>
        <w:jc w:val="center"/>
        <w:rPr>
          <w:rFonts w:eastAsiaTheme="minorEastAsia" w:cs="David" w:hint="cs"/>
          <w:b/>
          <w:bCs/>
          <w:sz w:val="24"/>
          <w:szCs w:val="24"/>
          <w:u w:val="single"/>
          <w:rtl/>
        </w:rPr>
      </w:pPr>
      <w:r w:rsidRPr="002351B6">
        <w:rPr>
          <w:rFonts w:eastAsiaTheme="minorEastAsia" w:cs="David" w:hint="cs"/>
          <w:b/>
          <w:bCs/>
          <w:sz w:val="24"/>
          <w:szCs w:val="24"/>
          <w:u w:val="single"/>
          <w:rtl/>
        </w:rPr>
        <w:t>אמנות מס</w:t>
      </w:r>
    </w:p>
    <w:p w:rsidR="001C3945" w:rsidRDefault="002351B6" w:rsidP="002351B6">
      <w:pPr>
        <w:spacing w:line="360" w:lineRule="auto"/>
        <w:jc w:val="both"/>
        <w:rPr>
          <w:rFonts w:eastAsiaTheme="minorEastAsia" w:cs="David"/>
          <w:sz w:val="24"/>
          <w:szCs w:val="24"/>
          <w:rtl/>
        </w:rPr>
      </w:pPr>
      <w:r>
        <w:rPr>
          <w:rFonts w:eastAsiaTheme="minorEastAsia" w:cs="David" w:hint="cs"/>
          <w:sz w:val="24"/>
          <w:szCs w:val="24"/>
          <w:rtl/>
        </w:rPr>
        <w:t xml:space="preserve">אמנת מס </w:t>
      </w:r>
      <w:r>
        <w:rPr>
          <w:rFonts w:eastAsiaTheme="minorEastAsia" w:cs="David"/>
          <w:sz w:val="24"/>
          <w:szCs w:val="24"/>
          <w:rtl/>
        </w:rPr>
        <w:t>–</w:t>
      </w:r>
      <w:r>
        <w:rPr>
          <w:rFonts w:eastAsiaTheme="minorEastAsia" w:cs="David" w:hint="cs"/>
          <w:sz w:val="24"/>
          <w:szCs w:val="24"/>
          <w:rtl/>
        </w:rPr>
        <w:t xml:space="preserve"> הסכם בין 2 מדינות המסדיר נושאים מסויימים לעניין מ"ה ומטרותיו הינן כדלקמן:</w:t>
      </w:r>
      <w:r w:rsidR="001C3945">
        <w:rPr>
          <w:rFonts w:eastAsiaTheme="minorEastAsia" w:cs="David" w:hint="cs"/>
          <w:sz w:val="24"/>
          <w:szCs w:val="24"/>
          <w:rtl/>
        </w:rPr>
        <w:t xml:space="preserve">   </w:t>
      </w:r>
    </w:p>
    <w:p w:rsidR="002351B6" w:rsidRDefault="002351B6" w:rsidP="002351B6">
      <w:pPr>
        <w:pStyle w:val="a7"/>
        <w:numPr>
          <w:ilvl w:val="0"/>
          <w:numId w:val="21"/>
        </w:numPr>
        <w:spacing w:line="360" w:lineRule="auto"/>
        <w:jc w:val="both"/>
        <w:rPr>
          <w:rFonts w:eastAsiaTheme="minorEastAsia" w:cs="David" w:hint="cs"/>
          <w:sz w:val="24"/>
          <w:szCs w:val="24"/>
        </w:rPr>
      </w:pPr>
      <w:r>
        <w:rPr>
          <w:rFonts w:eastAsiaTheme="minorEastAsia" w:cs="David" w:hint="cs"/>
          <w:sz w:val="24"/>
          <w:szCs w:val="24"/>
          <w:rtl/>
        </w:rPr>
        <w:t>מניעת כפל מס.</w:t>
      </w:r>
    </w:p>
    <w:p w:rsidR="002351B6" w:rsidRDefault="002351B6" w:rsidP="002351B6">
      <w:pPr>
        <w:pStyle w:val="a7"/>
        <w:numPr>
          <w:ilvl w:val="0"/>
          <w:numId w:val="21"/>
        </w:numPr>
        <w:spacing w:line="360" w:lineRule="auto"/>
        <w:jc w:val="both"/>
        <w:rPr>
          <w:rFonts w:eastAsiaTheme="minorEastAsia" w:cs="David" w:hint="cs"/>
          <w:sz w:val="24"/>
          <w:szCs w:val="24"/>
        </w:rPr>
      </w:pPr>
      <w:r>
        <w:rPr>
          <w:rFonts w:eastAsiaTheme="minorEastAsia" w:cs="David" w:hint="cs"/>
          <w:sz w:val="24"/>
          <w:szCs w:val="24"/>
          <w:rtl/>
        </w:rPr>
        <w:t>מניעת כפל פטור ממס.</w:t>
      </w:r>
    </w:p>
    <w:p w:rsidR="002351B6" w:rsidRDefault="002351B6" w:rsidP="002351B6">
      <w:pPr>
        <w:pStyle w:val="a7"/>
        <w:numPr>
          <w:ilvl w:val="0"/>
          <w:numId w:val="21"/>
        </w:numPr>
        <w:spacing w:line="360" w:lineRule="auto"/>
        <w:jc w:val="both"/>
        <w:rPr>
          <w:rFonts w:eastAsiaTheme="minorEastAsia" w:cs="David"/>
          <w:sz w:val="24"/>
          <w:szCs w:val="24"/>
        </w:rPr>
      </w:pPr>
      <w:r>
        <w:rPr>
          <w:rFonts w:eastAsiaTheme="minorEastAsia" w:cs="David" w:hint="cs"/>
          <w:sz w:val="24"/>
          <w:szCs w:val="24"/>
          <w:rtl/>
        </w:rPr>
        <w:t>חלוקת עוגת המס בין המדינות המתקשרות.</w:t>
      </w:r>
    </w:p>
    <w:p w:rsidR="002351B6" w:rsidRDefault="002351B6" w:rsidP="002351B6">
      <w:pPr>
        <w:pStyle w:val="a7"/>
        <w:numPr>
          <w:ilvl w:val="0"/>
          <w:numId w:val="21"/>
        </w:numPr>
        <w:spacing w:line="360" w:lineRule="auto"/>
        <w:jc w:val="both"/>
        <w:rPr>
          <w:rFonts w:eastAsiaTheme="minorEastAsia" w:cs="David" w:hint="cs"/>
          <w:sz w:val="24"/>
          <w:szCs w:val="24"/>
        </w:rPr>
      </w:pPr>
      <w:r>
        <w:rPr>
          <w:rFonts w:eastAsiaTheme="minorEastAsia" w:cs="David" w:hint="cs"/>
          <w:sz w:val="24"/>
          <w:szCs w:val="24"/>
          <w:rtl/>
        </w:rPr>
        <w:t xml:space="preserve">חילופי אינפורמציה. </w:t>
      </w:r>
    </w:p>
    <w:p w:rsidR="002351B6" w:rsidRDefault="002351B6" w:rsidP="002351B6">
      <w:pPr>
        <w:spacing w:line="360" w:lineRule="auto"/>
        <w:jc w:val="both"/>
        <w:rPr>
          <w:rFonts w:eastAsiaTheme="minorEastAsia" w:cs="David"/>
          <w:sz w:val="24"/>
          <w:szCs w:val="24"/>
          <w:rtl/>
        </w:rPr>
      </w:pPr>
      <w:r>
        <w:rPr>
          <w:rFonts w:eastAsiaTheme="minorEastAsia" w:cs="David" w:hint="cs"/>
          <w:sz w:val="24"/>
          <w:szCs w:val="24"/>
          <w:rtl/>
        </w:rPr>
        <w:t>קיימים שלושה מודלים של אמנות:</w:t>
      </w:r>
    </w:p>
    <w:p w:rsidR="002351B6" w:rsidRDefault="002351B6" w:rsidP="002351B6">
      <w:pPr>
        <w:pStyle w:val="a7"/>
        <w:numPr>
          <w:ilvl w:val="0"/>
          <w:numId w:val="22"/>
        </w:numPr>
        <w:spacing w:line="360" w:lineRule="auto"/>
        <w:jc w:val="both"/>
        <w:rPr>
          <w:rFonts w:eastAsiaTheme="minorEastAsia" w:cs="David" w:hint="cs"/>
          <w:sz w:val="24"/>
          <w:szCs w:val="24"/>
        </w:rPr>
      </w:pPr>
      <w:r>
        <w:rPr>
          <w:rFonts w:eastAsiaTheme="minorEastAsia" w:cs="David" w:hint="cs"/>
          <w:sz w:val="24"/>
          <w:szCs w:val="24"/>
          <w:rtl/>
        </w:rPr>
        <w:lastRenderedPageBreak/>
        <w:t xml:space="preserve">מודל ה </w:t>
      </w:r>
      <w:r>
        <w:rPr>
          <w:rFonts w:eastAsiaTheme="minorEastAsia" w:cs="David"/>
          <w:sz w:val="24"/>
          <w:szCs w:val="24"/>
          <w:rtl/>
        </w:rPr>
        <w:t>–</w:t>
      </w:r>
      <w:r>
        <w:rPr>
          <w:rFonts w:eastAsiaTheme="minorEastAsia" w:cs="David" w:hint="cs"/>
          <w:sz w:val="24"/>
          <w:szCs w:val="24"/>
          <w:rtl/>
        </w:rPr>
        <w:t xml:space="preserve"> </w:t>
      </w:r>
      <w:r>
        <w:rPr>
          <w:rFonts w:eastAsiaTheme="minorEastAsia" w:cs="David" w:hint="cs"/>
          <w:sz w:val="24"/>
          <w:szCs w:val="24"/>
        </w:rPr>
        <w:t>OECD</w:t>
      </w:r>
      <w:r>
        <w:rPr>
          <w:rFonts w:eastAsiaTheme="minorEastAsia" w:cs="David" w:hint="cs"/>
          <w:sz w:val="24"/>
          <w:szCs w:val="24"/>
          <w:rtl/>
        </w:rPr>
        <w:t xml:space="preserve"> זהו המודל השכיח ביותר שישראל חתומה עליו בגלל שהיא חתומה ב-</w:t>
      </w:r>
      <w:r>
        <w:rPr>
          <w:rFonts w:eastAsiaTheme="minorEastAsia" w:cs="David" w:hint="cs"/>
          <w:sz w:val="24"/>
          <w:szCs w:val="24"/>
        </w:rPr>
        <w:t>OECD</w:t>
      </w:r>
      <w:r w:rsidRPr="002351B6">
        <w:rPr>
          <w:rFonts w:eastAsiaTheme="minorEastAsia" w:cs="David" w:hint="cs"/>
          <w:sz w:val="24"/>
          <w:szCs w:val="24"/>
          <w:rtl/>
        </w:rPr>
        <w:t xml:space="preserve"> </w:t>
      </w:r>
      <w:r>
        <w:rPr>
          <w:rFonts w:eastAsiaTheme="minorEastAsia" w:cs="David" w:hint="cs"/>
          <w:sz w:val="24"/>
          <w:szCs w:val="24"/>
          <w:rtl/>
        </w:rPr>
        <w:t>.</w:t>
      </w:r>
    </w:p>
    <w:p w:rsidR="002351B6" w:rsidRDefault="002351B6" w:rsidP="002351B6">
      <w:pPr>
        <w:pStyle w:val="a7"/>
        <w:numPr>
          <w:ilvl w:val="0"/>
          <w:numId w:val="22"/>
        </w:numPr>
        <w:spacing w:line="360" w:lineRule="auto"/>
        <w:jc w:val="both"/>
        <w:rPr>
          <w:rFonts w:eastAsiaTheme="minorEastAsia" w:cs="David" w:hint="cs"/>
          <w:sz w:val="24"/>
          <w:szCs w:val="24"/>
        </w:rPr>
      </w:pPr>
      <w:r>
        <w:rPr>
          <w:rFonts w:eastAsiaTheme="minorEastAsia" w:cs="David" w:hint="cs"/>
          <w:sz w:val="24"/>
          <w:szCs w:val="24"/>
          <w:rtl/>
        </w:rPr>
        <w:t xml:space="preserve">המודל של ארה"ב </w:t>
      </w:r>
      <w:r>
        <w:rPr>
          <w:rFonts w:eastAsiaTheme="minorEastAsia" w:cs="David"/>
          <w:sz w:val="24"/>
          <w:szCs w:val="24"/>
          <w:rtl/>
        </w:rPr>
        <w:t>–</w:t>
      </w:r>
      <w:r>
        <w:rPr>
          <w:rFonts w:eastAsiaTheme="minorEastAsia" w:cs="David" w:hint="cs"/>
          <w:sz w:val="24"/>
          <w:szCs w:val="24"/>
          <w:rtl/>
        </w:rPr>
        <w:t xml:space="preserve"> מודל שארה"ב חותמת עליו עם כל מדינה שאיתה היא חותמת</w:t>
      </w:r>
    </w:p>
    <w:p w:rsidR="002351B6" w:rsidRDefault="002351B6" w:rsidP="002351B6">
      <w:pPr>
        <w:pStyle w:val="a7"/>
        <w:numPr>
          <w:ilvl w:val="0"/>
          <w:numId w:val="22"/>
        </w:numPr>
        <w:spacing w:line="360" w:lineRule="auto"/>
        <w:jc w:val="both"/>
        <w:rPr>
          <w:rFonts w:eastAsiaTheme="minorEastAsia" w:cs="David" w:hint="cs"/>
          <w:sz w:val="24"/>
          <w:szCs w:val="24"/>
        </w:rPr>
      </w:pPr>
      <w:r>
        <w:rPr>
          <w:rFonts w:eastAsiaTheme="minorEastAsia" w:cs="David" w:hint="cs"/>
          <w:sz w:val="24"/>
          <w:szCs w:val="24"/>
          <w:rtl/>
        </w:rPr>
        <w:t xml:space="preserve">מודל האו"ם </w:t>
      </w:r>
    </w:p>
    <w:p w:rsidR="002351B6" w:rsidRDefault="002351B6" w:rsidP="002351B6">
      <w:pPr>
        <w:spacing w:line="360" w:lineRule="auto"/>
        <w:jc w:val="both"/>
        <w:rPr>
          <w:rFonts w:eastAsiaTheme="minorEastAsia" w:cs="David"/>
          <w:sz w:val="24"/>
          <w:szCs w:val="24"/>
          <w:rtl/>
        </w:rPr>
      </w:pPr>
      <w:r>
        <w:rPr>
          <w:rFonts w:eastAsiaTheme="minorEastAsia" w:cs="David" w:hint="cs"/>
          <w:sz w:val="24"/>
          <w:szCs w:val="24"/>
          <w:rtl/>
        </w:rPr>
        <w:t xml:space="preserve">אמנות מס מסדירות נושאים שקשורים למיסים ישירים בלבד כמו : מ"ה, מס חברות , מס שבח ומס רוו"ה . הן לא מסדירות את הטיפול במיסים עקיפים כמו : מע"מ , מס קניה , מכס, מס בלו וביטוח לאומי. </w:t>
      </w:r>
    </w:p>
    <w:p w:rsidR="002351B6" w:rsidRDefault="002351B6" w:rsidP="002351B6">
      <w:pPr>
        <w:spacing w:line="360" w:lineRule="auto"/>
        <w:jc w:val="both"/>
        <w:rPr>
          <w:rFonts w:eastAsiaTheme="minorEastAsia" w:cs="David"/>
          <w:b/>
          <w:bCs/>
          <w:sz w:val="24"/>
          <w:szCs w:val="24"/>
          <w:rtl/>
        </w:rPr>
      </w:pPr>
      <w:r w:rsidRPr="002351B6">
        <w:rPr>
          <w:rFonts w:eastAsiaTheme="minorEastAsia" w:cs="David" w:hint="cs"/>
          <w:b/>
          <w:bCs/>
          <w:sz w:val="24"/>
          <w:szCs w:val="24"/>
          <w:rtl/>
        </w:rPr>
        <w:t>כללים בסיסיים באמנות:</w:t>
      </w:r>
    </w:p>
    <w:p w:rsidR="002351B6" w:rsidRPr="002351B6" w:rsidRDefault="002351B6" w:rsidP="002351B6">
      <w:pPr>
        <w:pStyle w:val="a7"/>
        <w:numPr>
          <w:ilvl w:val="0"/>
          <w:numId w:val="23"/>
        </w:numPr>
        <w:spacing w:line="360" w:lineRule="auto"/>
        <w:jc w:val="both"/>
        <w:rPr>
          <w:rFonts w:eastAsiaTheme="minorEastAsia" w:cs="David"/>
          <w:b/>
          <w:bCs/>
          <w:sz w:val="24"/>
          <w:szCs w:val="24"/>
        </w:rPr>
      </w:pPr>
      <w:r>
        <w:rPr>
          <w:rFonts w:eastAsiaTheme="minorEastAsia" w:cs="David" w:hint="cs"/>
          <w:sz w:val="24"/>
          <w:szCs w:val="24"/>
          <w:rtl/>
        </w:rPr>
        <w:t xml:space="preserve">אמנה היא הסכם ולא חוק כלומר, היא לא יכולה להטיל מס היא יכולה רק להגביל זכויות מיסוי. היא לא נותנת זכויות מיסוי אלא רק מגבילה אותן. </w:t>
      </w:r>
    </w:p>
    <w:p w:rsidR="002351B6" w:rsidRPr="002351B6" w:rsidRDefault="002351B6" w:rsidP="002351B6">
      <w:pPr>
        <w:pStyle w:val="a7"/>
        <w:numPr>
          <w:ilvl w:val="0"/>
          <w:numId w:val="23"/>
        </w:numPr>
        <w:spacing w:line="360" w:lineRule="auto"/>
        <w:jc w:val="both"/>
        <w:rPr>
          <w:rFonts w:eastAsiaTheme="minorEastAsia" w:cs="David"/>
          <w:b/>
          <w:bCs/>
          <w:sz w:val="24"/>
          <w:szCs w:val="24"/>
        </w:rPr>
      </w:pPr>
      <w:r>
        <w:rPr>
          <w:rFonts w:eastAsiaTheme="minorEastAsia" w:cs="David" w:hint="cs"/>
          <w:sz w:val="24"/>
          <w:szCs w:val="24"/>
          <w:rtl/>
        </w:rPr>
        <w:t>בהתאם לסעיף 196 לפקודת מ"ה הוראות האמנה גוברות על הוראות הדין הפנימי (פקודת מ"ה)</w:t>
      </w:r>
    </w:p>
    <w:p w:rsidR="00A254DF" w:rsidRDefault="002351B6" w:rsidP="002351B6">
      <w:pPr>
        <w:spacing w:line="360" w:lineRule="auto"/>
        <w:ind w:left="360"/>
        <w:jc w:val="both"/>
        <w:rPr>
          <w:rFonts w:eastAsiaTheme="minorEastAsia" w:cs="David"/>
          <w:sz w:val="24"/>
          <w:szCs w:val="24"/>
          <w:rtl/>
        </w:rPr>
      </w:pPr>
      <w:r w:rsidRPr="002351B6">
        <w:rPr>
          <w:rFonts w:eastAsiaTheme="minorEastAsia" w:cs="David" w:hint="cs"/>
          <w:sz w:val="24"/>
          <w:szCs w:val="24"/>
          <w:rtl/>
        </w:rPr>
        <w:t>כתוצאה מהעיקרון שבסעיף א'</w:t>
      </w:r>
      <w:r>
        <w:rPr>
          <w:rFonts w:eastAsiaTheme="minorEastAsia" w:cs="David" w:hint="cs"/>
          <w:sz w:val="24"/>
          <w:szCs w:val="24"/>
          <w:rtl/>
        </w:rPr>
        <w:t xml:space="preserve"> והעיקרון שבסעיף ב' שיעור המס בפועל שיחול על הנישום הוא הנמוך מבין שיעור המס שקבוע באמנה לשיעור המס בדין הפנימי</w:t>
      </w:r>
      <w:r w:rsidR="00A254DF">
        <w:rPr>
          <w:rFonts w:eastAsiaTheme="minorEastAsia" w:cs="David" w:hint="cs"/>
          <w:sz w:val="24"/>
          <w:szCs w:val="24"/>
          <w:rtl/>
        </w:rPr>
        <w:t>.</w:t>
      </w:r>
    </w:p>
    <w:p w:rsidR="002351B6" w:rsidRDefault="00A254DF" w:rsidP="00A254DF">
      <w:pPr>
        <w:spacing w:line="360" w:lineRule="auto"/>
        <w:jc w:val="both"/>
        <w:rPr>
          <w:rFonts w:eastAsiaTheme="minorEastAsia" w:cs="David"/>
          <w:sz w:val="24"/>
          <w:szCs w:val="24"/>
          <w:rtl/>
        </w:rPr>
      </w:pPr>
      <w:r>
        <w:rPr>
          <w:rFonts w:eastAsiaTheme="minorEastAsia" w:cs="David" w:hint="cs"/>
          <w:b/>
          <w:bCs/>
          <w:sz w:val="24"/>
          <w:szCs w:val="24"/>
          <w:rtl/>
        </w:rPr>
        <w:t>דוגמא :</w:t>
      </w:r>
      <w:r w:rsidR="002351B6">
        <w:rPr>
          <w:rFonts w:eastAsiaTheme="minorEastAsia"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993"/>
        <w:gridCol w:w="701"/>
        <w:gridCol w:w="1777"/>
      </w:tblGrid>
      <w:tr w:rsidR="00A254DF" w:rsidTr="00A254DF">
        <w:tc>
          <w:tcPr>
            <w:tcW w:w="0" w:type="auto"/>
          </w:tcPr>
          <w:p w:rsidR="00A254DF" w:rsidRDefault="00A254DF" w:rsidP="00A254DF">
            <w:pPr>
              <w:spacing w:line="360" w:lineRule="auto"/>
              <w:jc w:val="both"/>
              <w:rPr>
                <w:rFonts w:eastAsiaTheme="minorEastAsia" w:cs="David"/>
                <w:sz w:val="24"/>
                <w:szCs w:val="24"/>
                <w:rtl/>
              </w:rPr>
            </w:pP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דין פנימי</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אמנה</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 xml:space="preserve">שיעור המס שיחול </w:t>
            </w:r>
          </w:p>
        </w:tc>
      </w:tr>
      <w:tr w:rsidR="00A254DF" w:rsidTr="00A254DF">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הכ' דיבידנד</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25%</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15%</w:t>
            </w:r>
          </w:p>
        </w:tc>
        <w:tc>
          <w:tcPr>
            <w:tcW w:w="0" w:type="auto"/>
          </w:tcPr>
          <w:p w:rsidR="00A254DF" w:rsidRDefault="00A254DF" w:rsidP="00A254DF">
            <w:pPr>
              <w:spacing w:line="360" w:lineRule="auto"/>
              <w:jc w:val="both"/>
              <w:rPr>
                <w:rFonts w:eastAsiaTheme="minorEastAsia" w:cs="David" w:hint="cs"/>
                <w:sz w:val="24"/>
                <w:szCs w:val="24"/>
                <w:rtl/>
              </w:rPr>
            </w:pPr>
            <w:r w:rsidRPr="00A254DF">
              <w:rPr>
                <w:rFonts w:eastAsiaTheme="minorEastAsia" w:cs="David"/>
                <w:sz w:val="24"/>
                <w:szCs w:val="24"/>
              </w:rPr>
              <w:sym w:font="Wingdings" w:char="F0DF"/>
            </w:r>
            <w:r>
              <w:rPr>
                <w:rFonts w:eastAsiaTheme="minorEastAsia" w:cs="David"/>
                <w:sz w:val="24"/>
                <w:szCs w:val="24"/>
              </w:rPr>
              <w:t>15%</w:t>
            </w:r>
            <w:r>
              <w:rPr>
                <w:rFonts w:eastAsiaTheme="minorEastAsia" w:cs="David" w:hint="cs"/>
                <w:sz w:val="24"/>
                <w:szCs w:val="24"/>
                <w:rtl/>
              </w:rPr>
              <w:t xml:space="preserve"> עיקרון 2</w:t>
            </w:r>
          </w:p>
        </w:tc>
      </w:tr>
      <w:tr w:rsidR="00A254DF" w:rsidTr="00A254DF">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ריבית</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10%</w:t>
            </w:r>
          </w:p>
        </w:tc>
        <w:tc>
          <w:tcPr>
            <w:tcW w:w="0" w:type="auto"/>
          </w:tcPr>
          <w:p w:rsidR="00A254DF" w:rsidRDefault="00A254DF" w:rsidP="00A254DF">
            <w:pPr>
              <w:spacing w:line="360" w:lineRule="auto"/>
              <w:jc w:val="both"/>
              <w:rPr>
                <w:rFonts w:eastAsiaTheme="minorEastAsia" w:cs="David"/>
                <w:sz w:val="24"/>
                <w:szCs w:val="24"/>
                <w:rtl/>
              </w:rPr>
            </w:pPr>
            <w:r>
              <w:rPr>
                <w:rFonts w:eastAsiaTheme="minorEastAsia" w:cs="David" w:hint="cs"/>
                <w:sz w:val="24"/>
                <w:szCs w:val="24"/>
                <w:rtl/>
              </w:rPr>
              <w:t>20%</w:t>
            </w:r>
          </w:p>
        </w:tc>
        <w:tc>
          <w:tcPr>
            <w:tcW w:w="0" w:type="auto"/>
          </w:tcPr>
          <w:p w:rsidR="00A254DF" w:rsidRDefault="00A254DF" w:rsidP="00A254DF">
            <w:pPr>
              <w:spacing w:line="360" w:lineRule="auto"/>
              <w:jc w:val="both"/>
              <w:rPr>
                <w:rFonts w:eastAsiaTheme="minorEastAsia" w:cs="David"/>
                <w:sz w:val="24"/>
                <w:szCs w:val="24"/>
                <w:rtl/>
              </w:rPr>
            </w:pPr>
            <w:r w:rsidRPr="00A254DF">
              <w:rPr>
                <w:rFonts w:eastAsiaTheme="minorEastAsia" w:cs="David"/>
                <w:sz w:val="24"/>
                <w:szCs w:val="24"/>
              </w:rPr>
              <w:sym w:font="Wingdings" w:char="F0DF"/>
            </w:r>
            <w:r>
              <w:rPr>
                <w:rFonts w:eastAsiaTheme="minorEastAsia" w:cs="David"/>
                <w:sz w:val="24"/>
                <w:szCs w:val="24"/>
              </w:rPr>
              <w:t>10%</w:t>
            </w:r>
            <w:r>
              <w:rPr>
                <w:rFonts w:eastAsiaTheme="minorEastAsia" w:cs="David" w:hint="cs"/>
                <w:sz w:val="24"/>
                <w:szCs w:val="24"/>
                <w:rtl/>
              </w:rPr>
              <w:t xml:space="preserve"> עיקרון 1</w:t>
            </w:r>
          </w:p>
        </w:tc>
      </w:tr>
      <w:tr w:rsidR="00A254DF" w:rsidTr="00A254DF">
        <w:tc>
          <w:tcPr>
            <w:tcW w:w="0" w:type="auto"/>
          </w:tcPr>
          <w:p w:rsidR="00A254DF" w:rsidRDefault="00A254DF" w:rsidP="00A254DF">
            <w:pPr>
              <w:spacing w:line="360" w:lineRule="auto"/>
              <w:jc w:val="both"/>
              <w:rPr>
                <w:rFonts w:eastAsiaTheme="minorEastAsia" w:cs="David" w:hint="cs"/>
                <w:sz w:val="24"/>
                <w:szCs w:val="24"/>
                <w:rtl/>
              </w:rPr>
            </w:pPr>
            <w:r>
              <w:rPr>
                <w:rFonts w:eastAsiaTheme="minorEastAsia" w:cs="David" w:hint="cs"/>
                <w:sz w:val="24"/>
                <w:szCs w:val="24"/>
                <w:rtl/>
              </w:rPr>
              <w:t xml:space="preserve">רוו"ה </w:t>
            </w:r>
          </w:p>
        </w:tc>
        <w:tc>
          <w:tcPr>
            <w:tcW w:w="0" w:type="auto"/>
          </w:tcPr>
          <w:p w:rsidR="00A254DF" w:rsidRDefault="00A254DF" w:rsidP="00A254DF">
            <w:pPr>
              <w:spacing w:line="360" w:lineRule="auto"/>
              <w:jc w:val="both"/>
              <w:rPr>
                <w:rFonts w:eastAsiaTheme="minorEastAsia" w:cs="David" w:hint="cs"/>
                <w:sz w:val="24"/>
                <w:szCs w:val="24"/>
                <w:rtl/>
              </w:rPr>
            </w:pPr>
            <w:r>
              <w:rPr>
                <w:rFonts w:eastAsiaTheme="minorEastAsia" w:cs="David" w:hint="cs"/>
                <w:sz w:val="24"/>
                <w:szCs w:val="24"/>
                <w:rtl/>
              </w:rPr>
              <w:t>פטור</w:t>
            </w:r>
          </w:p>
        </w:tc>
        <w:tc>
          <w:tcPr>
            <w:tcW w:w="0" w:type="auto"/>
          </w:tcPr>
          <w:p w:rsidR="00A254DF" w:rsidRDefault="00A254DF" w:rsidP="00A254DF">
            <w:pPr>
              <w:spacing w:line="360" w:lineRule="auto"/>
              <w:jc w:val="both"/>
              <w:rPr>
                <w:rFonts w:eastAsiaTheme="minorEastAsia" w:cs="David" w:hint="cs"/>
                <w:sz w:val="24"/>
                <w:szCs w:val="24"/>
                <w:rtl/>
              </w:rPr>
            </w:pPr>
            <w:r>
              <w:rPr>
                <w:rFonts w:eastAsiaTheme="minorEastAsia" w:cs="David" w:hint="cs"/>
                <w:sz w:val="24"/>
                <w:szCs w:val="24"/>
                <w:rtl/>
              </w:rPr>
              <w:t>30%</w:t>
            </w:r>
          </w:p>
        </w:tc>
        <w:tc>
          <w:tcPr>
            <w:tcW w:w="0" w:type="auto"/>
          </w:tcPr>
          <w:p w:rsidR="00A254DF" w:rsidRPr="00A254DF" w:rsidRDefault="00A254DF" w:rsidP="00A254DF">
            <w:pPr>
              <w:spacing w:line="360" w:lineRule="auto"/>
              <w:jc w:val="both"/>
              <w:rPr>
                <w:rFonts w:eastAsiaTheme="minorEastAsia" w:cs="David"/>
                <w:sz w:val="24"/>
                <w:szCs w:val="24"/>
              </w:rPr>
            </w:pPr>
            <w:r>
              <w:rPr>
                <w:rFonts w:eastAsiaTheme="minorEastAsia" w:cs="David" w:hint="cs"/>
                <w:sz w:val="24"/>
                <w:szCs w:val="24"/>
                <w:rtl/>
              </w:rPr>
              <w:t xml:space="preserve">פטור </w:t>
            </w:r>
            <w:r w:rsidRPr="00A254DF">
              <w:rPr>
                <w:rFonts w:eastAsiaTheme="minorEastAsia" w:cs="David"/>
                <w:sz w:val="24"/>
                <w:szCs w:val="24"/>
              </w:rPr>
              <w:sym w:font="Wingdings" w:char="F0DF"/>
            </w:r>
            <w:r>
              <w:rPr>
                <w:rFonts w:eastAsiaTheme="minorEastAsia" w:cs="David" w:hint="cs"/>
                <w:sz w:val="24"/>
                <w:szCs w:val="24"/>
                <w:rtl/>
              </w:rPr>
              <w:t xml:space="preserve"> עיקרון 1</w:t>
            </w:r>
          </w:p>
        </w:tc>
      </w:tr>
    </w:tbl>
    <w:p w:rsidR="00A254DF" w:rsidRPr="00A254DF" w:rsidRDefault="00A254DF" w:rsidP="00A254DF">
      <w:pPr>
        <w:pStyle w:val="a7"/>
        <w:numPr>
          <w:ilvl w:val="0"/>
          <w:numId w:val="23"/>
        </w:numPr>
        <w:spacing w:line="360" w:lineRule="auto"/>
        <w:jc w:val="both"/>
        <w:rPr>
          <w:rFonts w:eastAsiaTheme="minorEastAsia" w:cs="David"/>
          <w:b/>
          <w:bCs/>
          <w:sz w:val="24"/>
          <w:szCs w:val="24"/>
        </w:rPr>
      </w:pPr>
      <w:r>
        <w:rPr>
          <w:rFonts w:eastAsiaTheme="minorEastAsia" w:cs="David" w:hint="cs"/>
          <w:b/>
          <w:bCs/>
          <w:sz w:val="24"/>
          <w:szCs w:val="24"/>
          <w:rtl/>
        </w:rPr>
        <w:t xml:space="preserve">למדינת המושב </w:t>
      </w:r>
      <w:r>
        <w:rPr>
          <w:rFonts w:eastAsiaTheme="minorEastAsia" w:cs="David"/>
          <w:sz w:val="24"/>
          <w:szCs w:val="24"/>
          <w:rtl/>
        </w:rPr>
        <w:t>–</w:t>
      </w:r>
      <w:r>
        <w:rPr>
          <w:rFonts w:eastAsiaTheme="minorEastAsia" w:cs="David" w:hint="cs"/>
          <w:sz w:val="24"/>
          <w:szCs w:val="24"/>
          <w:rtl/>
        </w:rPr>
        <w:t xml:space="preserve"> יש תמיד זכות מיסוי . יכול להיות שהיא לא תמסה בפועל כתוצאה מהוראת פטור קיזוז הפסדים או עודף זיכוי אבל תמיד יש לה זכות מיסוי. </w:t>
      </w:r>
    </w:p>
    <w:p w:rsidR="00A254DF" w:rsidRDefault="00A254DF" w:rsidP="00A254DF">
      <w:pPr>
        <w:pStyle w:val="a7"/>
        <w:spacing w:line="360" w:lineRule="auto"/>
        <w:jc w:val="both"/>
        <w:rPr>
          <w:rFonts w:eastAsiaTheme="minorEastAsia" w:cs="David"/>
          <w:sz w:val="24"/>
          <w:szCs w:val="24"/>
          <w:rtl/>
        </w:rPr>
      </w:pPr>
      <w:r>
        <w:rPr>
          <w:rFonts w:eastAsiaTheme="minorEastAsia" w:cs="David" w:hint="cs"/>
          <w:b/>
          <w:bCs/>
          <w:sz w:val="24"/>
          <w:szCs w:val="24"/>
          <w:rtl/>
        </w:rPr>
        <w:t xml:space="preserve">מדינת מושב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מדינת התושבות של מפיק ההכנסה. </w:t>
      </w:r>
    </w:p>
    <w:p w:rsidR="00A254DF" w:rsidRDefault="00A254DF" w:rsidP="00A254DF">
      <w:pPr>
        <w:pStyle w:val="a7"/>
        <w:spacing w:line="360" w:lineRule="auto"/>
        <w:jc w:val="both"/>
        <w:rPr>
          <w:rFonts w:eastAsiaTheme="minorEastAsia" w:cs="David"/>
          <w:sz w:val="24"/>
          <w:szCs w:val="24"/>
          <w:rtl/>
        </w:rPr>
      </w:pPr>
      <w:r>
        <w:rPr>
          <w:rFonts w:eastAsiaTheme="minorEastAsia" w:cs="David" w:hint="cs"/>
          <w:b/>
          <w:bCs/>
          <w:sz w:val="24"/>
          <w:szCs w:val="24"/>
          <w:rtl/>
        </w:rPr>
        <w:t xml:space="preserve">מדינת מקור </w:t>
      </w:r>
      <w:r>
        <w:rPr>
          <w:rFonts w:eastAsiaTheme="minorEastAsia" w:cs="David"/>
          <w:b/>
          <w:bCs/>
          <w:sz w:val="24"/>
          <w:szCs w:val="24"/>
          <w:rtl/>
        </w:rPr>
        <w:t>–</w:t>
      </w:r>
      <w:r>
        <w:rPr>
          <w:rFonts w:eastAsiaTheme="minorEastAsia" w:cs="David" w:hint="cs"/>
          <w:sz w:val="24"/>
          <w:szCs w:val="24"/>
          <w:rtl/>
        </w:rPr>
        <w:t xml:space="preserve"> מדינה שבה הופקה ההכנסה או מדינה בה נמצא גורם הייצור שהפיק את ההכנסה. </w:t>
      </w:r>
    </w:p>
    <w:p w:rsidR="00A254DF" w:rsidRDefault="00A254DF" w:rsidP="00A254DF">
      <w:pPr>
        <w:pStyle w:val="a7"/>
        <w:spacing w:line="360" w:lineRule="auto"/>
        <w:jc w:val="both"/>
        <w:rPr>
          <w:rFonts w:eastAsiaTheme="minorEastAsia" w:cs="David" w:hint="cs"/>
          <w:sz w:val="24"/>
          <w:szCs w:val="24"/>
          <w:rtl/>
        </w:rPr>
      </w:pPr>
      <w:r>
        <w:rPr>
          <w:rFonts w:eastAsiaTheme="minorEastAsia" w:cs="David" w:hint="cs"/>
          <w:sz w:val="24"/>
          <w:szCs w:val="24"/>
          <w:rtl/>
        </w:rPr>
        <w:t>לדוגמא 1: אמיר הוא תושב ישראל שנוסע לעבוד בשווייץ- מדינת התושבות היא ישראל שכן זוהי מדינת המושב של מפיק ההכנסה מדינת המקור היא שווייץ כי העבודה בוצעה בשוויץ ולכן ההכנסה הופקה בשוויץ</w:t>
      </w:r>
    </w:p>
    <w:p w:rsidR="00A254DF" w:rsidRDefault="00A254DF" w:rsidP="00A254DF">
      <w:pPr>
        <w:pStyle w:val="a7"/>
        <w:spacing w:line="360" w:lineRule="auto"/>
        <w:jc w:val="both"/>
        <w:rPr>
          <w:rFonts w:eastAsiaTheme="minorEastAsia" w:cs="David"/>
          <w:sz w:val="24"/>
          <w:szCs w:val="24"/>
          <w:rtl/>
        </w:rPr>
      </w:pPr>
      <w:r>
        <w:rPr>
          <w:rFonts w:eastAsiaTheme="minorEastAsia" w:cs="David" w:hint="cs"/>
          <w:sz w:val="24"/>
          <w:szCs w:val="24"/>
          <w:rtl/>
        </w:rPr>
        <w:t xml:space="preserve"> 2: זאק הוא תושב שווייץ שיש בבעלותו בניין באור יהודה והוא משכיר אותו לקריה האקדמית בתמורה לשכ"ד מדינת התושבות היא שווייץ ומדינת המקור היא ישראל . </w:t>
      </w:r>
    </w:p>
    <w:p w:rsidR="002E555F" w:rsidRDefault="002E555F" w:rsidP="002E555F">
      <w:pPr>
        <w:spacing w:line="360" w:lineRule="auto"/>
        <w:jc w:val="center"/>
        <w:rPr>
          <w:rFonts w:eastAsiaTheme="minorEastAsia" w:cs="David" w:hint="cs"/>
          <w:b/>
          <w:bCs/>
          <w:sz w:val="24"/>
          <w:szCs w:val="24"/>
          <w:u w:val="single"/>
          <w:rtl/>
        </w:rPr>
      </w:pPr>
      <w:r>
        <w:rPr>
          <w:rFonts w:eastAsiaTheme="minorEastAsia" w:cs="David" w:hint="cs"/>
          <w:b/>
          <w:bCs/>
          <w:sz w:val="24"/>
          <w:szCs w:val="24"/>
          <w:u w:val="single"/>
          <w:rtl/>
        </w:rPr>
        <w:t xml:space="preserve">זכויות מיסוי </w:t>
      </w:r>
    </w:p>
    <w:p w:rsidR="002E555F" w:rsidRDefault="002E555F" w:rsidP="002E555F">
      <w:pPr>
        <w:spacing w:line="360" w:lineRule="auto"/>
        <w:rPr>
          <w:rFonts w:eastAsiaTheme="minorEastAsia" w:cs="David" w:hint="cs"/>
          <w:sz w:val="24"/>
          <w:szCs w:val="24"/>
          <w:rtl/>
        </w:rPr>
      </w:pPr>
      <w:r>
        <w:rPr>
          <w:rFonts w:eastAsiaTheme="minorEastAsia" w:cs="David" w:hint="cs"/>
          <w:sz w:val="24"/>
          <w:szCs w:val="24"/>
          <w:rtl/>
        </w:rPr>
        <w:t>כפי שנאמר בע</w:t>
      </w:r>
      <w:r w:rsidR="006411FD">
        <w:rPr>
          <w:rFonts w:eastAsiaTheme="minorEastAsia" w:cs="David" w:hint="cs"/>
          <w:sz w:val="24"/>
          <w:szCs w:val="24"/>
          <w:rtl/>
        </w:rPr>
        <w:t>יקרון השלישי לניתוח אמנות , למדינת המושב תמיד יש זכות מיסוי .</w:t>
      </w:r>
    </w:p>
    <w:p w:rsidR="006411FD" w:rsidRDefault="006411FD" w:rsidP="002E555F">
      <w:pPr>
        <w:spacing w:line="360" w:lineRule="auto"/>
        <w:rPr>
          <w:rFonts w:eastAsiaTheme="minorEastAsia" w:cs="David"/>
          <w:sz w:val="24"/>
          <w:szCs w:val="24"/>
          <w:rtl/>
        </w:rPr>
      </w:pPr>
      <w:r>
        <w:rPr>
          <w:rFonts w:eastAsiaTheme="minorEastAsia" w:cs="David" w:hint="cs"/>
          <w:sz w:val="24"/>
          <w:szCs w:val="24"/>
          <w:rtl/>
        </w:rPr>
        <w:t>אנחנו נבדיל בין 3 מצבים אפשריים :</w:t>
      </w:r>
    </w:p>
    <w:p w:rsidR="006411FD" w:rsidRDefault="006411FD" w:rsidP="006411FD">
      <w:pPr>
        <w:pStyle w:val="a7"/>
        <w:numPr>
          <w:ilvl w:val="0"/>
          <w:numId w:val="24"/>
        </w:numPr>
        <w:spacing w:line="360" w:lineRule="auto"/>
        <w:rPr>
          <w:rFonts w:eastAsiaTheme="minorEastAsia" w:cs="David"/>
          <w:sz w:val="24"/>
          <w:szCs w:val="24"/>
        </w:rPr>
      </w:pPr>
      <w:r>
        <w:rPr>
          <w:rFonts w:eastAsiaTheme="minorEastAsia" w:cs="David" w:hint="cs"/>
          <w:sz w:val="24"/>
          <w:szCs w:val="24"/>
          <w:rtl/>
        </w:rPr>
        <w:lastRenderedPageBreak/>
        <w:t>זכות מיסוי ראשונית למדינת המקור לא מוגבלת. וזכות מיסוי שיורית למדינת המושב תוך מתן זיכוי על המס הזר שהוטל במדינת המקור.</w:t>
      </w:r>
    </w:p>
    <w:p w:rsidR="006411FD" w:rsidRDefault="006411FD" w:rsidP="006411FD">
      <w:pPr>
        <w:pStyle w:val="a7"/>
        <w:numPr>
          <w:ilvl w:val="0"/>
          <w:numId w:val="24"/>
        </w:numPr>
        <w:spacing w:line="360" w:lineRule="auto"/>
        <w:rPr>
          <w:rFonts w:eastAsiaTheme="minorEastAsia" w:cs="David"/>
          <w:sz w:val="24"/>
          <w:szCs w:val="24"/>
        </w:rPr>
      </w:pPr>
      <w:r>
        <w:rPr>
          <w:rFonts w:eastAsiaTheme="minorEastAsia" w:cs="David" w:hint="cs"/>
          <w:sz w:val="24"/>
          <w:szCs w:val="24"/>
          <w:rtl/>
        </w:rPr>
        <w:t>זכות מיסוי ראשונית מוגבלת למדינת המקור . וזכות מיסוי שיורית למדינת המושב תוך מתן זיכוי על המס הזר שהוטל במדינת המקור (חלופה זו חלה ביחס להכנסות דיבידנד ריבית ותמלוגים)</w:t>
      </w:r>
    </w:p>
    <w:p w:rsidR="006411FD" w:rsidRDefault="006411FD" w:rsidP="006411FD">
      <w:pPr>
        <w:pStyle w:val="a7"/>
        <w:numPr>
          <w:ilvl w:val="0"/>
          <w:numId w:val="24"/>
        </w:numPr>
        <w:spacing w:line="360" w:lineRule="auto"/>
        <w:rPr>
          <w:rFonts w:eastAsiaTheme="minorEastAsia" w:cs="David"/>
          <w:sz w:val="24"/>
          <w:szCs w:val="24"/>
        </w:rPr>
      </w:pPr>
      <w:r>
        <w:rPr>
          <w:rFonts w:eastAsiaTheme="minorEastAsia" w:cs="David" w:hint="cs"/>
          <w:sz w:val="24"/>
          <w:szCs w:val="24"/>
          <w:rtl/>
        </w:rPr>
        <w:t>זכות מיסוי בלעדית למדינת המושב (פטור במדינת המקור)</w:t>
      </w:r>
    </w:p>
    <w:p w:rsidR="006411FD" w:rsidRPr="006411FD" w:rsidRDefault="006411FD" w:rsidP="006411FD">
      <w:pPr>
        <w:pStyle w:val="a7"/>
        <w:spacing w:line="360" w:lineRule="auto"/>
        <w:rPr>
          <w:rFonts w:eastAsiaTheme="minorEastAsia" w:cs="David"/>
          <w:sz w:val="24"/>
          <w:szCs w:val="24"/>
          <w:rtl/>
        </w:rPr>
      </w:pPr>
      <w:r w:rsidRPr="006411FD">
        <w:rPr>
          <w:rFonts w:eastAsiaTheme="minorEastAsia" w:cs="David" w:hint="cs"/>
          <w:sz w:val="24"/>
          <w:szCs w:val="24"/>
          <w:rtl/>
        </w:rPr>
        <w:t>דוגמאות:</w:t>
      </w:r>
    </w:p>
    <w:p w:rsidR="006411FD" w:rsidRDefault="006411FD" w:rsidP="006411FD">
      <w:pPr>
        <w:pStyle w:val="a7"/>
        <w:numPr>
          <w:ilvl w:val="0"/>
          <w:numId w:val="26"/>
        </w:numPr>
        <w:spacing w:line="360" w:lineRule="auto"/>
        <w:rPr>
          <w:rFonts w:eastAsiaTheme="minorEastAsia" w:cs="David"/>
          <w:sz w:val="24"/>
          <w:szCs w:val="24"/>
        </w:rPr>
      </w:pPr>
      <w:r>
        <w:rPr>
          <w:rFonts w:eastAsiaTheme="minorEastAsia" w:cs="David" w:hint="cs"/>
          <w:sz w:val="24"/>
          <w:szCs w:val="24"/>
          <w:rtl/>
        </w:rPr>
        <w:t xml:space="preserve">רוו"ה שאינו נובע ממקרקעין או מניית מקרקעין </w:t>
      </w:r>
    </w:p>
    <w:p w:rsidR="006411FD" w:rsidRDefault="006411FD" w:rsidP="006411FD">
      <w:pPr>
        <w:pStyle w:val="a7"/>
        <w:numPr>
          <w:ilvl w:val="0"/>
          <w:numId w:val="26"/>
        </w:numPr>
        <w:spacing w:line="360" w:lineRule="auto"/>
        <w:rPr>
          <w:rFonts w:eastAsiaTheme="minorEastAsia" w:cs="David"/>
          <w:sz w:val="24"/>
          <w:szCs w:val="24"/>
        </w:rPr>
      </w:pPr>
      <w:r w:rsidRPr="006411FD">
        <w:rPr>
          <w:rFonts w:eastAsiaTheme="minorEastAsia" w:cs="David" w:hint="cs"/>
          <w:sz w:val="24"/>
          <w:szCs w:val="24"/>
          <w:rtl/>
        </w:rPr>
        <w:t xml:space="preserve">הכנסה אחרת (סעיף 21 לאמנה עם שווייץ)  </w:t>
      </w:r>
    </w:p>
    <w:p w:rsidR="006411FD" w:rsidRPr="006411FD" w:rsidRDefault="006411FD" w:rsidP="006411FD">
      <w:pPr>
        <w:pStyle w:val="a7"/>
        <w:numPr>
          <w:ilvl w:val="0"/>
          <w:numId w:val="26"/>
        </w:numPr>
        <w:spacing w:line="360" w:lineRule="auto"/>
        <w:rPr>
          <w:rFonts w:eastAsiaTheme="minorEastAsia" w:cs="David" w:hint="cs"/>
          <w:sz w:val="24"/>
          <w:szCs w:val="24"/>
          <w:rtl/>
        </w:rPr>
      </w:pPr>
      <w:r>
        <w:rPr>
          <w:rFonts w:eastAsiaTheme="minorEastAsia" w:cs="David" w:hint="cs"/>
          <w:sz w:val="24"/>
          <w:szCs w:val="24"/>
          <w:rtl/>
        </w:rPr>
        <w:t xml:space="preserve">רווחי עסקים כשאין מוסד קבע </w:t>
      </w:r>
      <w:bookmarkStart w:id="0" w:name="_GoBack"/>
      <w:bookmarkEnd w:id="0"/>
    </w:p>
    <w:p w:rsidR="001C3945" w:rsidRPr="002351B6" w:rsidRDefault="001C3945" w:rsidP="00442933">
      <w:pPr>
        <w:spacing w:line="360" w:lineRule="auto"/>
        <w:jc w:val="both"/>
        <w:rPr>
          <w:rFonts w:eastAsiaTheme="minorEastAsia" w:cs="David" w:hint="cs"/>
          <w:sz w:val="24"/>
          <w:szCs w:val="24"/>
          <w:rtl/>
        </w:rPr>
      </w:pPr>
    </w:p>
    <w:sectPr w:rsidR="001C3945" w:rsidRPr="002351B6" w:rsidSect="00761CBD">
      <w:headerReference w:type="default" r:id="rId18"/>
      <w:footerReference w:type="default" r:id="rId19"/>
      <w:pgSz w:w="11906" w:h="16838"/>
      <w:pgMar w:top="1440" w:right="1800" w:bottom="1440" w:left="1800" w:header="708" w:footer="708" w:gutter="0"/>
      <w:pgNumType w:start="3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B7" w:rsidRDefault="00D459B7" w:rsidP="00F172F9">
      <w:pPr>
        <w:spacing w:after="0" w:line="240" w:lineRule="auto"/>
      </w:pPr>
      <w:r>
        <w:separator/>
      </w:r>
    </w:p>
  </w:endnote>
  <w:endnote w:type="continuationSeparator" w:id="0">
    <w:p w:rsidR="00D459B7" w:rsidRDefault="00D459B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6411FD" w:rsidRPr="006411FD">
          <w:rPr>
            <w:noProof/>
            <w:rtl/>
            <w:lang w:val="he-IL"/>
          </w:rPr>
          <w:t>37</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B7" w:rsidRDefault="00D459B7" w:rsidP="00F172F9">
      <w:pPr>
        <w:spacing w:after="0" w:line="240" w:lineRule="auto"/>
      </w:pPr>
      <w:r>
        <w:separator/>
      </w:r>
    </w:p>
  </w:footnote>
  <w:footnote w:type="continuationSeparator" w:id="0">
    <w:p w:rsidR="00D459B7" w:rsidRDefault="00D459B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761CBD">
      <w:rPr>
        <w:rFonts w:cs="David" w:hint="cs"/>
        <w:sz w:val="24"/>
        <w:szCs w:val="24"/>
        <w:rtl/>
      </w:rPr>
      <w:t>19</w:t>
    </w:r>
    <w:r w:rsidR="0047616B">
      <w:rPr>
        <w:rFonts w:cs="David" w:hint="cs"/>
        <w:sz w:val="24"/>
        <w:szCs w:val="24"/>
        <w:rtl/>
      </w:rPr>
      <w:t>/05</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3F7"/>
    <w:multiLevelType w:val="hybridMultilevel"/>
    <w:tmpl w:val="13AAADE2"/>
    <w:lvl w:ilvl="0" w:tplc="0596C1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36FF7"/>
    <w:multiLevelType w:val="hybridMultilevel"/>
    <w:tmpl w:val="A522B7C4"/>
    <w:lvl w:ilvl="0" w:tplc="4514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90FFC"/>
    <w:multiLevelType w:val="hybridMultilevel"/>
    <w:tmpl w:val="3C58466E"/>
    <w:lvl w:ilvl="0" w:tplc="E280C5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0B4052"/>
    <w:multiLevelType w:val="hybridMultilevel"/>
    <w:tmpl w:val="7128AB2C"/>
    <w:lvl w:ilvl="0" w:tplc="51DA7C50">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4EA1"/>
    <w:multiLevelType w:val="hybridMultilevel"/>
    <w:tmpl w:val="768EBDC8"/>
    <w:lvl w:ilvl="0" w:tplc="14CC5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DA3"/>
    <w:multiLevelType w:val="hybridMultilevel"/>
    <w:tmpl w:val="F8905EE2"/>
    <w:lvl w:ilvl="0" w:tplc="96D617D0">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309D2AE4"/>
    <w:multiLevelType w:val="hybridMultilevel"/>
    <w:tmpl w:val="2BAA995C"/>
    <w:lvl w:ilvl="0" w:tplc="DBB2CDD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376B4C12"/>
    <w:multiLevelType w:val="hybridMultilevel"/>
    <w:tmpl w:val="0B4014B6"/>
    <w:lvl w:ilvl="0" w:tplc="94F616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B16AE"/>
    <w:multiLevelType w:val="hybridMultilevel"/>
    <w:tmpl w:val="23CA59F0"/>
    <w:lvl w:ilvl="0" w:tplc="43A8106A">
      <w:start w:val="1"/>
      <w:numFmt w:val="bullet"/>
      <w:lvlText w:val=""/>
      <w:lvlJc w:val="left"/>
      <w:pPr>
        <w:ind w:left="720" w:hanging="360"/>
      </w:pPr>
      <w:rPr>
        <w:rFonts w:ascii="Symbol" w:eastAsiaTheme="minorEastAsia"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A0580"/>
    <w:multiLevelType w:val="hybridMultilevel"/>
    <w:tmpl w:val="E5FEBE0E"/>
    <w:lvl w:ilvl="0" w:tplc="49FEE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A56BB"/>
    <w:multiLevelType w:val="hybridMultilevel"/>
    <w:tmpl w:val="4EEC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A24BA"/>
    <w:multiLevelType w:val="hybridMultilevel"/>
    <w:tmpl w:val="AE7C5BFC"/>
    <w:lvl w:ilvl="0" w:tplc="2DB275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97BC1"/>
    <w:multiLevelType w:val="hybridMultilevel"/>
    <w:tmpl w:val="7A3029CA"/>
    <w:lvl w:ilvl="0" w:tplc="61742B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51181"/>
    <w:multiLevelType w:val="hybridMultilevel"/>
    <w:tmpl w:val="81AC268E"/>
    <w:lvl w:ilvl="0" w:tplc="D758E8DA">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64834FC6"/>
    <w:multiLevelType w:val="hybridMultilevel"/>
    <w:tmpl w:val="87487858"/>
    <w:lvl w:ilvl="0" w:tplc="54C688F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D3AA9"/>
    <w:multiLevelType w:val="hybridMultilevel"/>
    <w:tmpl w:val="23AA8AB4"/>
    <w:lvl w:ilvl="0" w:tplc="BE3A3DBE">
      <w:start w:val="1"/>
      <w:numFmt w:val="hebrew1"/>
      <w:lvlText w:val="%1."/>
      <w:lvlJc w:val="left"/>
      <w:pPr>
        <w:ind w:left="1381" w:hanging="360"/>
      </w:pPr>
      <w:rPr>
        <w:rFonts w:asciiTheme="minorHAnsi" w:eastAsiaTheme="minorHAnsi" w:hAnsiTheme="minorHAnsi" w:cs="David"/>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6">
    <w:nsid w:val="66337270"/>
    <w:multiLevelType w:val="hybridMultilevel"/>
    <w:tmpl w:val="CE123718"/>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687C30"/>
    <w:multiLevelType w:val="hybridMultilevel"/>
    <w:tmpl w:val="C03404AE"/>
    <w:lvl w:ilvl="0" w:tplc="DAFA25A8">
      <w:start w:val="1"/>
      <w:numFmt w:val="decimal"/>
      <w:lvlText w:val="%1."/>
      <w:lvlJc w:val="left"/>
      <w:pPr>
        <w:ind w:left="1440" w:hanging="360"/>
      </w:pPr>
      <w:rPr>
        <w:rFonts w:asciiTheme="minorHAnsi" w:eastAsiaTheme="minorHAnsi" w:hAnsiTheme="minorHAnsi" w:cs="David"/>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06486E"/>
    <w:multiLevelType w:val="hybridMultilevel"/>
    <w:tmpl w:val="E9028622"/>
    <w:lvl w:ilvl="0" w:tplc="46C8E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16961"/>
    <w:multiLevelType w:val="hybridMultilevel"/>
    <w:tmpl w:val="7AEE9928"/>
    <w:lvl w:ilvl="0" w:tplc="1E561746">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A238D"/>
    <w:multiLevelType w:val="hybridMultilevel"/>
    <w:tmpl w:val="2E4A3D5C"/>
    <w:lvl w:ilvl="0" w:tplc="7106907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A24FE8"/>
    <w:multiLevelType w:val="hybridMultilevel"/>
    <w:tmpl w:val="FE9C577C"/>
    <w:lvl w:ilvl="0" w:tplc="138C4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9219E4"/>
    <w:multiLevelType w:val="hybridMultilevel"/>
    <w:tmpl w:val="BB84297A"/>
    <w:lvl w:ilvl="0" w:tplc="5EA669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003AFF"/>
    <w:multiLevelType w:val="hybridMultilevel"/>
    <w:tmpl w:val="438A61A6"/>
    <w:lvl w:ilvl="0" w:tplc="3F4CCBC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nsid w:val="797E322A"/>
    <w:multiLevelType w:val="hybridMultilevel"/>
    <w:tmpl w:val="5FD258D6"/>
    <w:lvl w:ilvl="0" w:tplc="EF42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1336F"/>
    <w:multiLevelType w:val="hybridMultilevel"/>
    <w:tmpl w:val="B936C3A6"/>
    <w:lvl w:ilvl="0" w:tplc="C46CEAF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9"/>
  </w:num>
  <w:num w:numId="2">
    <w:abstractNumId w:val="16"/>
  </w:num>
  <w:num w:numId="3">
    <w:abstractNumId w:val="22"/>
  </w:num>
  <w:num w:numId="4">
    <w:abstractNumId w:val="20"/>
  </w:num>
  <w:num w:numId="5">
    <w:abstractNumId w:val="17"/>
  </w:num>
  <w:num w:numId="6">
    <w:abstractNumId w:val="2"/>
  </w:num>
  <w:num w:numId="7">
    <w:abstractNumId w:val="15"/>
  </w:num>
  <w:num w:numId="8">
    <w:abstractNumId w:val="6"/>
  </w:num>
  <w:num w:numId="9">
    <w:abstractNumId w:val="23"/>
  </w:num>
  <w:num w:numId="10">
    <w:abstractNumId w:val="5"/>
  </w:num>
  <w:num w:numId="11">
    <w:abstractNumId w:val="25"/>
  </w:num>
  <w:num w:numId="12">
    <w:abstractNumId w:val="13"/>
  </w:num>
  <w:num w:numId="13">
    <w:abstractNumId w:val="24"/>
  </w:num>
  <w:num w:numId="14">
    <w:abstractNumId w:val="3"/>
  </w:num>
  <w:num w:numId="15">
    <w:abstractNumId w:val="4"/>
  </w:num>
  <w:num w:numId="16">
    <w:abstractNumId w:val="8"/>
  </w:num>
  <w:num w:numId="17">
    <w:abstractNumId w:val="18"/>
  </w:num>
  <w:num w:numId="18">
    <w:abstractNumId w:val="14"/>
  </w:num>
  <w:num w:numId="19">
    <w:abstractNumId w:val="1"/>
  </w:num>
  <w:num w:numId="20">
    <w:abstractNumId w:val="11"/>
  </w:num>
  <w:num w:numId="21">
    <w:abstractNumId w:val="0"/>
  </w:num>
  <w:num w:numId="22">
    <w:abstractNumId w:val="7"/>
  </w:num>
  <w:num w:numId="23">
    <w:abstractNumId w:val="9"/>
  </w:num>
  <w:num w:numId="24">
    <w:abstractNumId w:val="12"/>
  </w:num>
  <w:num w:numId="25">
    <w:abstractNumId w:val="10"/>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6D95"/>
    <w:rsid w:val="00057726"/>
    <w:rsid w:val="00064426"/>
    <w:rsid w:val="00067034"/>
    <w:rsid w:val="000711EB"/>
    <w:rsid w:val="000738AB"/>
    <w:rsid w:val="00074CE5"/>
    <w:rsid w:val="000836E1"/>
    <w:rsid w:val="00086534"/>
    <w:rsid w:val="000945A1"/>
    <w:rsid w:val="000A25BC"/>
    <w:rsid w:val="000B0A06"/>
    <w:rsid w:val="000C04AC"/>
    <w:rsid w:val="000E0AF4"/>
    <w:rsid w:val="000E2361"/>
    <w:rsid w:val="000E2818"/>
    <w:rsid w:val="000E2846"/>
    <w:rsid w:val="000E2D7F"/>
    <w:rsid w:val="000E635D"/>
    <w:rsid w:val="000F0A4E"/>
    <w:rsid w:val="000F5666"/>
    <w:rsid w:val="001040B2"/>
    <w:rsid w:val="00105D60"/>
    <w:rsid w:val="00110927"/>
    <w:rsid w:val="00113AEF"/>
    <w:rsid w:val="001149FD"/>
    <w:rsid w:val="00136F21"/>
    <w:rsid w:val="00141690"/>
    <w:rsid w:val="00141C1F"/>
    <w:rsid w:val="00142423"/>
    <w:rsid w:val="001528B5"/>
    <w:rsid w:val="001732EE"/>
    <w:rsid w:val="001750C2"/>
    <w:rsid w:val="00177BDD"/>
    <w:rsid w:val="00177F4F"/>
    <w:rsid w:val="00181A5B"/>
    <w:rsid w:val="001822E1"/>
    <w:rsid w:val="00191DBE"/>
    <w:rsid w:val="001B369D"/>
    <w:rsid w:val="001C3945"/>
    <w:rsid w:val="001C767B"/>
    <w:rsid w:val="001E6DAB"/>
    <w:rsid w:val="001F380B"/>
    <w:rsid w:val="00216E13"/>
    <w:rsid w:val="002351B6"/>
    <w:rsid w:val="002540A4"/>
    <w:rsid w:val="00255E31"/>
    <w:rsid w:val="00257DAD"/>
    <w:rsid w:val="00273D67"/>
    <w:rsid w:val="0027485E"/>
    <w:rsid w:val="00291642"/>
    <w:rsid w:val="00296691"/>
    <w:rsid w:val="002B6AE7"/>
    <w:rsid w:val="002E555F"/>
    <w:rsid w:val="002F0F21"/>
    <w:rsid w:val="002F42B7"/>
    <w:rsid w:val="00300BD0"/>
    <w:rsid w:val="00307427"/>
    <w:rsid w:val="003202F6"/>
    <w:rsid w:val="00327B3D"/>
    <w:rsid w:val="00357D7E"/>
    <w:rsid w:val="00364AAF"/>
    <w:rsid w:val="0036592B"/>
    <w:rsid w:val="003701A4"/>
    <w:rsid w:val="0037079A"/>
    <w:rsid w:val="003716B5"/>
    <w:rsid w:val="0037542C"/>
    <w:rsid w:val="003A4E5D"/>
    <w:rsid w:val="003B16E1"/>
    <w:rsid w:val="003E11E4"/>
    <w:rsid w:val="003F00CA"/>
    <w:rsid w:val="0041092E"/>
    <w:rsid w:val="0042093B"/>
    <w:rsid w:val="00431510"/>
    <w:rsid w:val="00441C02"/>
    <w:rsid w:val="00442933"/>
    <w:rsid w:val="00445DDE"/>
    <w:rsid w:val="00447CBD"/>
    <w:rsid w:val="004549A8"/>
    <w:rsid w:val="00455E77"/>
    <w:rsid w:val="0047616B"/>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72344"/>
    <w:rsid w:val="00583630"/>
    <w:rsid w:val="005A7E0C"/>
    <w:rsid w:val="005B1FE5"/>
    <w:rsid w:val="005C14D9"/>
    <w:rsid w:val="005D2079"/>
    <w:rsid w:val="005F7FCF"/>
    <w:rsid w:val="00604254"/>
    <w:rsid w:val="00612D32"/>
    <w:rsid w:val="00613AFB"/>
    <w:rsid w:val="006154DB"/>
    <w:rsid w:val="0062718C"/>
    <w:rsid w:val="00632593"/>
    <w:rsid w:val="0063276A"/>
    <w:rsid w:val="00640EE4"/>
    <w:rsid w:val="006411FD"/>
    <w:rsid w:val="006414F2"/>
    <w:rsid w:val="00644924"/>
    <w:rsid w:val="0065582D"/>
    <w:rsid w:val="006575E9"/>
    <w:rsid w:val="00664FBA"/>
    <w:rsid w:val="00671A58"/>
    <w:rsid w:val="0067567C"/>
    <w:rsid w:val="00693015"/>
    <w:rsid w:val="006A12B0"/>
    <w:rsid w:val="006A1EB0"/>
    <w:rsid w:val="006A45C1"/>
    <w:rsid w:val="006C64D2"/>
    <w:rsid w:val="006D24A4"/>
    <w:rsid w:val="006E6434"/>
    <w:rsid w:val="006F096A"/>
    <w:rsid w:val="006F2E48"/>
    <w:rsid w:val="006F5E4B"/>
    <w:rsid w:val="00702A1C"/>
    <w:rsid w:val="00705FCC"/>
    <w:rsid w:val="007073C1"/>
    <w:rsid w:val="007151CD"/>
    <w:rsid w:val="00725398"/>
    <w:rsid w:val="00725A43"/>
    <w:rsid w:val="00730C72"/>
    <w:rsid w:val="00733735"/>
    <w:rsid w:val="007340B9"/>
    <w:rsid w:val="0074281D"/>
    <w:rsid w:val="00746D2D"/>
    <w:rsid w:val="00755965"/>
    <w:rsid w:val="00761698"/>
    <w:rsid w:val="00761CBD"/>
    <w:rsid w:val="0077222F"/>
    <w:rsid w:val="00773583"/>
    <w:rsid w:val="00777F80"/>
    <w:rsid w:val="007A4CDA"/>
    <w:rsid w:val="007C61DA"/>
    <w:rsid w:val="007C7309"/>
    <w:rsid w:val="007D2808"/>
    <w:rsid w:val="007F7F49"/>
    <w:rsid w:val="008023BB"/>
    <w:rsid w:val="00811840"/>
    <w:rsid w:val="008229E1"/>
    <w:rsid w:val="00834C62"/>
    <w:rsid w:val="008506BC"/>
    <w:rsid w:val="008630BF"/>
    <w:rsid w:val="00892E3F"/>
    <w:rsid w:val="008954AF"/>
    <w:rsid w:val="008A22CD"/>
    <w:rsid w:val="008B5CC5"/>
    <w:rsid w:val="008C369A"/>
    <w:rsid w:val="009000FA"/>
    <w:rsid w:val="0093791D"/>
    <w:rsid w:val="00944800"/>
    <w:rsid w:val="00953E39"/>
    <w:rsid w:val="00954ACA"/>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254DF"/>
    <w:rsid w:val="00A41A5F"/>
    <w:rsid w:val="00A4372D"/>
    <w:rsid w:val="00A43C18"/>
    <w:rsid w:val="00A46DCF"/>
    <w:rsid w:val="00A66CBA"/>
    <w:rsid w:val="00A721A2"/>
    <w:rsid w:val="00A844E8"/>
    <w:rsid w:val="00A91570"/>
    <w:rsid w:val="00AB0B99"/>
    <w:rsid w:val="00AB4C0D"/>
    <w:rsid w:val="00AD68B9"/>
    <w:rsid w:val="00AE4C2B"/>
    <w:rsid w:val="00AE670E"/>
    <w:rsid w:val="00AF37D1"/>
    <w:rsid w:val="00AF440D"/>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C2C05"/>
    <w:rsid w:val="00BD1469"/>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9E2"/>
    <w:rsid w:val="00CC1BA0"/>
    <w:rsid w:val="00CE47B9"/>
    <w:rsid w:val="00CE4C14"/>
    <w:rsid w:val="00CF597C"/>
    <w:rsid w:val="00D0419F"/>
    <w:rsid w:val="00D154EF"/>
    <w:rsid w:val="00D16042"/>
    <w:rsid w:val="00D24CA0"/>
    <w:rsid w:val="00D26696"/>
    <w:rsid w:val="00D3167C"/>
    <w:rsid w:val="00D44F75"/>
    <w:rsid w:val="00D459B7"/>
    <w:rsid w:val="00D50990"/>
    <w:rsid w:val="00D52744"/>
    <w:rsid w:val="00D54A48"/>
    <w:rsid w:val="00D62713"/>
    <w:rsid w:val="00D8578E"/>
    <w:rsid w:val="00DA091A"/>
    <w:rsid w:val="00DA3B20"/>
    <w:rsid w:val="00DA71B8"/>
    <w:rsid w:val="00DC36EB"/>
    <w:rsid w:val="00DC3D9A"/>
    <w:rsid w:val="00DD74F9"/>
    <w:rsid w:val="00DE193C"/>
    <w:rsid w:val="00DF2468"/>
    <w:rsid w:val="00DF5A11"/>
    <w:rsid w:val="00E17F97"/>
    <w:rsid w:val="00E408D0"/>
    <w:rsid w:val="00E42A69"/>
    <w:rsid w:val="00E43EE9"/>
    <w:rsid w:val="00E45731"/>
    <w:rsid w:val="00E509B3"/>
    <w:rsid w:val="00E55D8E"/>
    <w:rsid w:val="00E61CD3"/>
    <w:rsid w:val="00E819FF"/>
    <w:rsid w:val="00E90188"/>
    <w:rsid w:val="00E91741"/>
    <w:rsid w:val="00EA2D9B"/>
    <w:rsid w:val="00EA5EB3"/>
    <w:rsid w:val="00ED193C"/>
    <w:rsid w:val="00ED2B51"/>
    <w:rsid w:val="00F13610"/>
    <w:rsid w:val="00F172F9"/>
    <w:rsid w:val="00F262C5"/>
    <w:rsid w:val="00F263B2"/>
    <w:rsid w:val="00F37D01"/>
    <w:rsid w:val="00F418E1"/>
    <w:rsid w:val="00F45808"/>
    <w:rsid w:val="00F47B0F"/>
    <w:rsid w:val="00F624A4"/>
    <w:rsid w:val="00F64CAB"/>
    <w:rsid w:val="00F77598"/>
    <w:rsid w:val="00F81D7C"/>
    <w:rsid w:val="00F8514F"/>
    <w:rsid w:val="00F85C08"/>
    <w:rsid w:val="00F943F7"/>
    <w:rsid w:val="00F95D4D"/>
    <w:rsid w:val="00FA2085"/>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page number"/>
    <w:basedOn w:val="a0"/>
    <w:uiPriority w:val="99"/>
    <w:semiHidden/>
    <w:unhideWhenUsed/>
    <w:rsid w:val="00A2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DDA86-8222-4F91-940B-CEE299D8A11D}" type="doc">
      <dgm:prSet loTypeId="urn:microsoft.com/office/officeart/2005/8/layout/equation1" loCatId="process" qsTypeId="urn:microsoft.com/office/officeart/2005/8/quickstyle/simple5" qsCatId="simple" csTypeId="urn:microsoft.com/office/officeart/2005/8/colors/colorful4" csCatId="colorful" phldr="1"/>
      <dgm:spPr/>
    </dgm:pt>
    <dgm:pt modelId="{AAB9FCC3-E13B-49A1-9535-302064FFC46E}">
      <dgm:prSet phldrT="[טקסט]"/>
      <dgm:spPr/>
      <dgm:t>
        <a:bodyPr/>
        <a:lstStyle/>
        <a:p>
          <a:pPr rtl="1"/>
          <a:r>
            <a:rPr lang="he-IL">
              <a:latin typeface="David" panose="020E0502060401010101" pitchFamily="34" charset="-79"/>
              <a:cs typeface="David" panose="020E0502060401010101" pitchFamily="34" charset="-79"/>
            </a:rPr>
            <a:t>רווחים פאסיביים שלא חולקו כדיבידנד</a:t>
          </a:r>
          <a:endParaRPr lang="he-IL">
            <a:latin typeface="David" panose="020E0502060401010101" pitchFamily="34" charset="-79"/>
            <a:cs typeface="David" panose="020E0502060401010101" pitchFamily="34" charset="-79"/>
          </a:endParaRPr>
        </a:p>
      </dgm:t>
    </dgm:pt>
    <dgm:pt modelId="{B0B7451B-1B5C-4F53-8ED7-2F1E3AEAB273}" type="parTrans" cxnId="{2F6CBCCB-BCC6-4412-A1FB-7EB4392411A5}">
      <dgm:prSet/>
      <dgm:spPr/>
      <dgm:t>
        <a:bodyPr/>
        <a:lstStyle/>
        <a:p>
          <a:pPr rtl="1"/>
          <a:endParaRPr lang="he-IL"/>
        </a:p>
      </dgm:t>
    </dgm:pt>
    <dgm:pt modelId="{7BE7EC0B-387F-4FAA-B163-4B69836238EA}" type="sibTrans" cxnId="{2F6CBCCB-BCC6-4412-A1FB-7EB4392411A5}">
      <dgm:prSet/>
      <dgm:spPr/>
      <dgm:t>
        <a:bodyPr/>
        <a:lstStyle/>
        <a:p>
          <a:pPr rtl="1"/>
          <a:endParaRPr lang="he-IL"/>
        </a:p>
      </dgm:t>
    </dgm:pt>
    <dgm:pt modelId="{838ED663-45E6-4D66-BF80-A1A593544718}">
      <dgm:prSet phldrT="[טקסט]"/>
      <dgm:spPr/>
      <dgm:t>
        <a:bodyPr/>
        <a:lstStyle/>
        <a:p>
          <a:pPr rtl="1"/>
          <a:r>
            <a:rPr lang="he-IL">
              <a:latin typeface="David" panose="020E0502060401010101" pitchFamily="34" charset="-79"/>
              <a:cs typeface="David" panose="020E0502060401010101" pitchFamily="34" charset="-79"/>
            </a:rPr>
            <a:t>מיסים שושלמו על הרווחים הפאסיביים</a:t>
          </a:r>
          <a:endParaRPr lang="he-IL">
            <a:latin typeface="David" panose="020E0502060401010101" pitchFamily="34" charset="-79"/>
            <a:cs typeface="David" panose="020E0502060401010101" pitchFamily="34" charset="-79"/>
          </a:endParaRPr>
        </a:p>
      </dgm:t>
    </dgm:pt>
    <dgm:pt modelId="{FD035BB0-06F9-4060-9506-36332DB8D4C3}" type="parTrans" cxnId="{E170512D-CBA1-4E5F-9DD3-DF6AF9FBF303}">
      <dgm:prSet/>
      <dgm:spPr/>
      <dgm:t>
        <a:bodyPr/>
        <a:lstStyle/>
        <a:p>
          <a:pPr rtl="1"/>
          <a:endParaRPr lang="he-IL"/>
        </a:p>
      </dgm:t>
    </dgm:pt>
    <dgm:pt modelId="{3AE35B0B-0EB3-4BF0-834A-52D182F5413B}" type="sibTrans" cxnId="{E170512D-CBA1-4E5F-9DD3-DF6AF9FBF303}">
      <dgm:prSet/>
      <dgm:spPr/>
      <dgm:t>
        <a:bodyPr/>
        <a:lstStyle/>
        <a:p>
          <a:pPr rtl="1"/>
          <a:endParaRPr lang="he-IL"/>
        </a:p>
      </dgm:t>
    </dgm:pt>
    <dgm:pt modelId="{B57528FC-3D82-481D-AF75-29C525A5DA32}">
      <dgm:prSet phldrT="[טקסט]"/>
      <dgm:spPr/>
      <dgm:t>
        <a:bodyPr/>
        <a:lstStyle/>
        <a:p>
          <a:pPr rtl="1"/>
          <a:r>
            <a:rPr lang="he-IL" b="1">
              <a:latin typeface="David" panose="020E0502060401010101" pitchFamily="34" charset="-79"/>
              <a:cs typeface="David" panose="020E0502060401010101" pitchFamily="34" charset="-79"/>
            </a:rPr>
            <a:t>רווחים שלא שולמו</a:t>
          </a:r>
        </a:p>
      </dgm:t>
    </dgm:pt>
    <dgm:pt modelId="{CF20B797-7519-49D0-A70D-40471F1054F6}" type="parTrans" cxnId="{13347269-6A7E-49A9-9600-C9F590F88850}">
      <dgm:prSet/>
      <dgm:spPr/>
      <dgm:t>
        <a:bodyPr/>
        <a:lstStyle/>
        <a:p>
          <a:pPr rtl="1"/>
          <a:endParaRPr lang="he-IL"/>
        </a:p>
      </dgm:t>
    </dgm:pt>
    <dgm:pt modelId="{79E23699-A3C4-444D-9948-68B2DF71A1FA}" type="sibTrans" cxnId="{13347269-6A7E-49A9-9600-C9F590F88850}">
      <dgm:prSet/>
      <dgm:spPr/>
      <dgm:t>
        <a:bodyPr/>
        <a:lstStyle/>
        <a:p>
          <a:pPr rtl="1"/>
          <a:endParaRPr lang="he-IL"/>
        </a:p>
      </dgm:t>
    </dgm:pt>
    <dgm:pt modelId="{2728F135-BF1D-45C6-A19C-7193C3A24CC8}">
      <dgm:prSet/>
      <dgm:spPr/>
      <dgm:t>
        <a:bodyPr/>
        <a:lstStyle/>
        <a:p>
          <a:pPr rtl="1"/>
          <a:r>
            <a:rPr lang="he-IL">
              <a:latin typeface="David" panose="020E0502060401010101" pitchFamily="34" charset="-79"/>
              <a:cs typeface="David" panose="020E0502060401010101" pitchFamily="34" charset="-79"/>
            </a:rPr>
            <a:t>הפסדים ברי קיזוז</a:t>
          </a:r>
        </a:p>
      </dgm:t>
    </dgm:pt>
    <dgm:pt modelId="{3BCB490B-2B4F-43ED-9280-D584AB433AAD}" type="parTrans" cxnId="{1EF0357A-C3D6-4B88-B74A-7449A3085839}">
      <dgm:prSet/>
      <dgm:spPr/>
      <dgm:t>
        <a:bodyPr/>
        <a:lstStyle/>
        <a:p>
          <a:pPr rtl="1"/>
          <a:endParaRPr lang="he-IL"/>
        </a:p>
      </dgm:t>
    </dgm:pt>
    <dgm:pt modelId="{78D62554-759E-495E-A17E-09290501ABE4}" type="sibTrans" cxnId="{1EF0357A-C3D6-4B88-B74A-7449A3085839}">
      <dgm:prSet/>
      <dgm:spPr/>
      <dgm:t>
        <a:bodyPr/>
        <a:lstStyle/>
        <a:p>
          <a:pPr rtl="1"/>
          <a:endParaRPr lang="he-IL"/>
        </a:p>
      </dgm:t>
    </dgm:pt>
    <dgm:pt modelId="{51BE6CB5-0518-453A-B14D-AFE0693EAEC6}" type="pres">
      <dgm:prSet presAssocID="{D15DDA86-8222-4F91-940B-CEE299D8A11D}" presName="linearFlow" presStyleCnt="0">
        <dgm:presLayoutVars>
          <dgm:dir/>
          <dgm:resizeHandles val="exact"/>
        </dgm:presLayoutVars>
      </dgm:prSet>
      <dgm:spPr/>
    </dgm:pt>
    <dgm:pt modelId="{D70CCE79-446F-4D14-A053-136555C1A274}" type="pres">
      <dgm:prSet presAssocID="{AAB9FCC3-E13B-49A1-9535-302064FFC46E}" presName="node" presStyleLbl="node1" presStyleIdx="0" presStyleCnt="4">
        <dgm:presLayoutVars>
          <dgm:bulletEnabled val="1"/>
        </dgm:presLayoutVars>
      </dgm:prSet>
      <dgm:spPr/>
      <dgm:t>
        <a:bodyPr/>
        <a:lstStyle/>
        <a:p>
          <a:pPr rtl="1"/>
          <a:endParaRPr lang="he-IL"/>
        </a:p>
      </dgm:t>
    </dgm:pt>
    <dgm:pt modelId="{BB9555C9-92BC-40BA-9AA2-C0C2C9D7CE0D}" type="pres">
      <dgm:prSet presAssocID="{7BE7EC0B-387F-4FAA-B163-4B69836238EA}" presName="spacerL" presStyleCnt="0"/>
      <dgm:spPr/>
    </dgm:pt>
    <dgm:pt modelId="{D6719EEB-185F-42BD-BBCF-D1C9FAB5B911}" type="pres">
      <dgm:prSet presAssocID="{7BE7EC0B-387F-4FAA-B163-4B69836238EA}" presName="sibTrans" presStyleLbl="sibTrans2D1" presStyleIdx="0" presStyleCnt="3" custScaleY="31638"/>
      <dgm:spPr>
        <a:prstGeom prst="flowChartTerminator">
          <a:avLst/>
        </a:prstGeom>
      </dgm:spPr>
    </dgm:pt>
    <dgm:pt modelId="{436C5EE9-77C1-4937-80C2-8E8003DD3364}" type="pres">
      <dgm:prSet presAssocID="{7BE7EC0B-387F-4FAA-B163-4B69836238EA}" presName="spacerR" presStyleCnt="0"/>
      <dgm:spPr/>
    </dgm:pt>
    <dgm:pt modelId="{2C3CA611-DC89-4EE9-844D-611496660695}" type="pres">
      <dgm:prSet presAssocID="{2728F135-BF1D-45C6-A19C-7193C3A24CC8}" presName="node" presStyleLbl="node1" presStyleIdx="1" presStyleCnt="4">
        <dgm:presLayoutVars>
          <dgm:bulletEnabled val="1"/>
        </dgm:presLayoutVars>
      </dgm:prSet>
      <dgm:spPr/>
    </dgm:pt>
    <dgm:pt modelId="{A2A56319-2F05-4BA2-AB6B-529975AB7172}" type="pres">
      <dgm:prSet presAssocID="{78D62554-759E-495E-A17E-09290501ABE4}" presName="spacerL" presStyleCnt="0"/>
      <dgm:spPr/>
    </dgm:pt>
    <dgm:pt modelId="{7B766EB5-1209-48FD-B824-46DFA84B2559}" type="pres">
      <dgm:prSet presAssocID="{78D62554-759E-495E-A17E-09290501ABE4}" presName="sibTrans" presStyleLbl="sibTrans2D1" presStyleIdx="1" presStyleCnt="3" custScaleY="31638"/>
      <dgm:spPr>
        <a:prstGeom prst="flowChartTerminator">
          <a:avLst/>
        </a:prstGeom>
      </dgm:spPr>
    </dgm:pt>
    <dgm:pt modelId="{5819724A-CB22-4A0D-A95E-0B89A5A92658}" type="pres">
      <dgm:prSet presAssocID="{78D62554-759E-495E-A17E-09290501ABE4}" presName="spacerR" presStyleCnt="0"/>
      <dgm:spPr/>
    </dgm:pt>
    <dgm:pt modelId="{A41249D9-E9F2-4BF3-AECD-A27584E45141}" type="pres">
      <dgm:prSet presAssocID="{838ED663-45E6-4D66-BF80-A1A593544718}" presName="node" presStyleLbl="node1" presStyleIdx="2" presStyleCnt="4">
        <dgm:presLayoutVars>
          <dgm:bulletEnabled val="1"/>
        </dgm:presLayoutVars>
      </dgm:prSet>
      <dgm:spPr/>
      <dgm:t>
        <a:bodyPr/>
        <a:lstStyle/>
        <a:p>
          <a:pPr rtl="1"/>
          <a:endParaRPr lang="he-IL"/>
        </a:p>
      </dgm:t>
    </dgm:pt>
    <dgm:pt modelId="{1934A014-73A6-4E48-BE60-7982D74969C5}" type="pres">
      <dgm:prSet presAssocID="{3AE35B0B-0EB3-4BF0-834A-52D182F5413B}" presName="spacerL" presStyleCnt="0"/>
      <dgm:spPr/>
    </dgm:pt>
    <dgm:pt modelId="{4E97E193-D23B-4F07-B425-4D120D96FA5C}" type="pres">
      <dgm:prSet presAssocID="{3AE35B0B-0EB3-4BF0-834A-52D182F5413B}" presName="sibTrans" presStyleLbl="sibTrans2D1" presStyleIdx="2" presStyleCnt="3"/>
      <dgm:spPr/>
    </dgm:pt>
    <dgm:pt modelId="{AA45E729-0505-4E05-BBD9-99860528AB14}" type="pres">
      <dgm:prSet presAssocID="{3AE35B0B-0EB3-4BF0-834A-52D182F5413B}" presName="spacerR" presStyleCnt="0"/>
      <dgm:spPr/>
    </dgm:pt>
    <dgm:pt modelId="{D37228D4-AA4E-4C08-92EE-EE38632D7A4B}" type="pres">
      <dgm:prSet presAssocID="{B57528FC-3D82-481D-AF75-29C525A5DA32}" presName="node" presStyleLbl="node1" presStyleIdx="3" presStyleCnt="4">
        <dgm:presLayoutVars>
          <dgm:bulletEnabled val="1"/>
        </dgm:presLayoutVars>
      </dgm:prSet>
      <dgm:spPr/>
      <dgm:t>
        <a:bodyPr/>
        <a:lstStyle/>
        <a:p>
          <a:pPr rtl="1"/>
          <a:endParaRPr lang="he-IL"/>
        </a:p>
      </dgm:t>
    </dgm:pt>
  </dgm:ptLst>
  <dgm:cxnLst>
    <dgm:cxn modelId="{89936BFA-B270-4D12-8BC6-01621C039565}" type="presOf" srcId="{7BE7EC0B-387F-4FAA-B163-4B69836238EA}" destId="{D6719EEB-185F-42BD-BBCF-D1C9FAB5B911}" srcOrd="0" destOrd="0" presId="urn:microsoft.com/office/officeart/2005/8/layout/equation1"/>
    <dgm:cxn modelId="{6224FE78-493B-45DB-B1DD-D52AFE45BEE7}" type="presOf" srcId="{D15DDA86-8222-4F91-940B-CEE299D8A11D}" destId="{51BE6CB5-0518-453A-B14D-AFE0693EAEC6}" srcOrd="0" destOrd="0" presId="urn:microsoft.com/office/officeart/2005/8/layout/equation1"/>
    <dgm:cxn modelId="{1EF0357A-C3D6-4B88-B74A-7449A3085839}" srcId="{D15DDA86-8222-4F91-940B-CEE299D8A11D}" destId="{2728F135-BF1D-45C6-A19C-7193C3A24CC8}" srcOrd="1" destOrd="0" parTransId="{3BCB490B-2B4F-43ED-9280-D584AB433AAD}" sibTransId="{78D62554-759E-495E-A17E-09290501ABE4}"/>
    <dgm:cxn modelId="{2F6CBCCB-BCC6-4412-A1FB-7EB4392411A5}" srcId="{D15DDA86-8222-4F91-940B-CEE299D8A11D}" destId="{AAB9FCC3-E13B-49A1-9535-302064FFC46E}" srcOrd="0" destOrd="0" parTransId="{B0B7451B-1B5C-4F53-8ED7-2F1E3AEAB273}" sibTransId="{7BE7EC0B-387F-4FAA-B163-4B69836238EA}"/>
    <dgm:cxn modelId="{34310FB2-C7B4-46A8-B378-E98C38D4312C}" type="presOf" srcId="{78D62554-759E-495E-A17E-09290501ABE4}" destId="{7B766EB5-1209-48FD-B824-46DFA84B2559}" srcOrd="0" destOrd="0" presId="urn:microsoft.com/office/officeart/2005/8/layout/equation1"/>
    <dgm:cxn modelId="{6BB99E3D-A512-4CCD-ADED-E29D9E3140EA}" type="presOf" srcId="{AAB9FCC3-E13B-49A1-9535-302064FFC46E}" destId="{D70CCE79-446F-4D14-A053-136555C1A274}" srcOrd="0" destOrd="0" presId="urn:microsoft.com/office/officeart/2005/8/layout/equation1"/>
    <dgm:cxn modelId="{5163FBD5-518B-4DA4-AD59-C154EBD62CED}" type="presOf" srcId="{838ED663-45E6-4D66-BF80-A1A593544718}" destId="{A41249D9-E9F2-4BF3-AECD-A27584E45141}" srcOrd="0" destOrd="0" presId="urn:microsoft.com/office/officeart/2005/8/layout/equation1"/>
    <dgm:cxn modelId="{13347269-6A7E-49A9-9600-C9F590F88850}" srcId="{D15DDA86-8222-4F91-940B-CEE299D8A11D}" destId="{B57528FC-3D82-481D-AF75-29C525A5DA32}" srcOrd="3" destOrd="0" parTransId="{CF20B797-7519-49D0-A70D-40471F1054F6}" sibTransId="{79E23699-A3C4-444D-9948-68B2DF71A1FA}"/>
    <dgm:cxn modelId="{B8F0E862-C9BB-49AD-9582-DFFCB2D5B6A2}" type="presOf" srcId="{3AE35B0B-0EB3-4BF0-834A-52D182F5413B}" destId="{4E97E193-D23B-4F07-B425-4D120D96FA5C}" srcOrd="0" destOrd="0" presId="urn:microsoft.com/office/officeart/2005/8/layout/equation1"/>
    <dgm:cxn modelId="{E170512D-CBA1-4E5F-9DD3-DF6AF9FBF303}" srcId="{D15DDA86-8222-4F91-940B-CEE299D8A11D}" destId="{838ED663-45E6-4D66-BF80-A1A593544718}" srcOrd="2" destOrd="0" parTransId="{FD035BB0-06F9-4060-9506-36332DB8D4C3}" sibTransId="{3AE35B0B-0EB3-4BF0-834A-52D182F5413B}"/>
    <dgm:cxn modelId="{7D05F7DF-754B-42CC-8929-7912C404B60B}" type="presOf" srcId="{B57528FC-3D82-481D-AF75-29C525A5DA32}" destId="{D37228D4-AA4E-4C08-92EE-EE38632D7A4B}" srcOrd="0" destOrd="0" presId="urn:microsoft.com/office/officeart/2005/8/layout/equation1"/>
    <dgm:cxn modelId="{DA49C883-601A-4041-805E-CF96DF17D97C}" type="presOf" srcId="{2728F135-BF1D-45C6-A19C-7193C3A24CC8}" destId="{2C3CA611-DC89-4EE9-844D-611496660695}" srcOrd="0" destOrd="0" presId="urn:microsoft.com/office/officeart/2005/8/layout/equation1"/>
    <dgm:cxn modelId="{0D7CE0A2-DF4F-487B-B800-7CDFBC9F69C7}" type="presParOf" srcId="{51BE6CB5-0518-453A-B14D-AFE0693EAEC6}" destId="{D70CCE79-446F-4D14-A053-136555C1A274}" srcOrd="0" destOrd="0" presId="urn:microsoft.com/office/officeart/2005/8/layout/equation1"/>
    <dgm:cxn modelId="{91F2F5E3-A86F-4125-A6D7-1141135914EA}" type="presParOf" srcId="{51BE6CB5-0518-453A-B14D-AFE0693EAEC6}" destId="{BB9555C9-92BC-40BA-9AA2-C0C2C9D7CE0D}" srcOrd="1" destOrd="0" presId="urn:microsoft.com/office/officeart/2005/8/layout/equation1"/>
    <dgm:cxn modelId="{3B3C0841-8737-4916-802A-FE7A00F98811}" type="presParOf" srcId="{51BE6CB5-0518-453A-B14D-AFE0693EAEC6}" destId="{D6719EEB-185F-42BD-BBCF-D1C9FAB5B911}" srcOrd="2" destOrd="0" presId="urn:microsoft.com/office/officeart/2005/8/layout/equation1"/>
    <dgm:cxn modelId="{7F219022-6B3D-4717-AD98-CE680F5866B4}" type="presParOf" srcId="{51BE6CB5-0518-453A-B14D-AFE0693EAEC6}" destId="{436C5EE9-77C1-4937-80C2-8E8003DD3364}" srcOrd="3" destOrd="0" presId="urn:microsoft.com/office/officeart/2005/8/layout/equation1"/>
    <dgm:cxn modelId="{FE9F6B6D-60DE-4A5E-9D63-DE6AB9B1B9C9}" type="presParOf" srcId="{51BE6CB5-0518-453A-B14D-AFE0693EAEC6}" destId="{2C3CA611-DC89-4EE9-844D-611496660695}" srcOrd="4" destOrd="0" presId="urn:microsoft.com/office/officeart/2005/8/layout/equation1"/>
    <dgm:cxn modelId="{B0B568D0-4711-401B-8DF2-AFD1E395B469}" type="presParOf" srcId="{51BE6CB5-0518-453A-B14D-AFE0693EAEC6}" destId="{A2A56319-2F05-4BA2-AB6B-529975AB7172}" srcOrd="5" destOrd="0" presId="urn:microsoft.com/office/officeart/2005/8/layout/equation1"/>
    <dgm:cxn modelId="{AC989BE3-46A6-4EEE-9D4E-F89C301868F2}" type="presParOf" srcId="{51BE6CB5-0518-453A-B14D-AFE0693EAEC6}" destId="{7B766EB5-1209-48FD-B824-46DFA84B2559}" srcOrd="6" destOrd="0" presId="urn:microsoft.com/office/officeart/2005/8/layout/equation1"/>
    <dgm:cxn modelId="{89AA9D9E-3231-4E2D-BB5A-2722759DCC1E}" type="presParOf" srcId="{51BE6CB5-0518-453A-B14D-AFE0693EAEC6}" destId="{5819724A-CB22-4A0D-A95E-0B89A5A92658}" srcOrd="7" destOrd="0" presId="urn:microsoft.com/office/officeart/2005/8/layout/equation1"/>
    <dgm:cxn modelId="{6AEFFC7B-5F37-4C8C-8AEA-0716BB78040D}" type="presParOf" srcId="{51BE6CB5-0518-453A-B14D-AFE0693EAEC6}" destId="{A41249D9-E9F2-4BF3-AECD-A27584E45141}" srcOrd="8" destOrd="0" presId="urn:microsoft.com/office/officeart/2005/8/layout/equation1"/>
    <dgm:cxn modelId="{3CBFE12A-66A5-4E6D-8112-60FA23549489}" type="presParOf" srcId="{51BE6CB5-0518-453A-B14D-AFE0693EAEC6}" destId="{1934A014-73A6-4E48-BE60-7982D74969C5}" srcOrd="9" destOrd="0" presId="urn:microsoft.com/office/officeart/2005/8/layout/equation1"/>
    <dgm:cxn modelId="{F9ECF2EF-D1FC-472E-B34D-496A14DDCB5F}" type="presParOf" srcId="{51BE6CB5-0518-453A-B14D-AFE0693EAEC6}" destId="{4E97E193-D23B-4F07-B425-4D120D96FA5C}" srcOrd="10" destOrd="0" presId="urn:microsoft.com/office/officeart/2005/8/layout/equation1"/>
    <dgm:cxn modelId="{3F1F6B61-D0D4-4786-B2A3-D2321499D744}" type="presParOf" srcId="{51BE6CB5-0518-453A-B14D-AFE0693EAEC6}" destId="{AA45E729-0505-4E05-BBD9-99860528AB14}" srcOrd="11" destOrd="0" presId="urn:microsoft.com/office/officeart/2005/8/layout/equation1"/>
    <dgm:cxn modelId="{77F950ED-0A92-46EF-9844-A42F3E34EF10}" type="presParOf" srcId="{51BE6CB5-0518-453A-B14D-AFE0693EAEC6}" destId="{D37228D4-AA4E-4C08-92EE-EE38632D7A4B}" srcOrd="12"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D53881-C1D5-452F-8B9E-3C9C649B8DC1}" type="doc">
      <dgm:prSet loTypeId="urn:microsoft.com/office/officeart/2005/8/layout/cycle2" loCatId="cycle" qsTypeId="urn:microsoft.com/office/officeart/2005/8/quickstyle/simple5" qsCatId="simple" csTypeId="urn:microsoft.com/office/officeart/2005/8/colors/colorful4" csCatId="colorful" phldr="1"/>
      <dgm:spPr/>
      <dgm:t>
        <a:bodyPr/>
        <a:lstStyle/>
        <a:p>
          <a:pPr rtl="1"/>
          <a:endParaRPr lang="he-IL"/>
        </a:p>
      </dgm:t>
    </dgm:pt>
    <dgm:pt modelId="{85848A90-6C46-4B77-9E64-498A281627D6}">
      <dgm:prSet phldrT="[טקסט]"/>
      <dgm:spPr/>
      <dgm:t>
        <a:bodyPr/>
        <a:lstStyle/>
        <a:p>
          <a:pPr rtl="1"/>
          <a:r>
            <a:rPr lang="he-IL">
              <a:latin typeface="David" panose="020E0502060401010101" pitchFamily="34" charset="-79"/>
              <a:cs typeface="David" panose="020E0502060401010101" pitchFamily="34" charset="-79"/>
            </a:rPr>
            <a:t>תושב ישראל (חברה) </a:t>
          </a:r>
        </a:p>
      </dgm:t>
    </dgm:pt>
    <dgm:pt modelId="{94A55CA4-0B4C-4AA0-992A-93DE2E60C004}" type="parTrans" cxnId="{BC95ABE6-C2A1-4BA9-A866-46EE7C7C6021}">
      <dgm:prSet/>
      <dgm:spPr/>
      <dgm:t>
        <a:bodyPr/>
        <a:lstStyle/>
        <a:p>
          <a:pPr rtl="1"/>
          <a:endParaRPr lang="he-IL"/>
        </a:p>
      </dgm:t>
    </dgm:pt>
    <dgm:pt modelId="{13863AB4-F2BF-4015-BE9F-B952788493FA}" type="sibTrans" cxnId="{BC95ABE6-C2A1-4BA9-A866-46EE7C7C6021}">
      <dgm:prSet/>
      <dgm:spPr/>
      <dgm:t>
        <a:bodyPr/>
        <a:lstStyle/>
        <a:p>
          <a:pPr algn="r" rtl="1"/>
          <a:r>
            <a:rPr lang="he-IL">
              <a:latin typeface="David" panose="020E0502060401010101" pitchFamily="34" charset="-79"/>
              <a:cs typeface="David" panose="020E0502060401010101" pitchFamily="34" charset="-79"/>
            </a:rPr>
            <a:t>40%</a:t>
          </a:r>
        </a:p>
      </dgm:t>
    </dgm:pt>
    <dgm:pt modelId="{9F7AF92E-8495-4726-8026-0A165959D55E}">
      <dgm:prSet phldrT="[טקסט]"/>
      <dgm:spPr/>
      <dgm:t>
        <a:bodyPr/>
        <a:lstStyle/>
        <a:p>
          <a:pPr rtl="1"/>
          <a:r>
            <a:rPr lang="he-IL">
              <a:latin typeface="David" panose="020E0502060401010101" pitchFamily="34" charset="-79"/>
              <a:cs typeface="David" panose="020E0502060401010101" pitchFamily="34" charset="-79"/>
            </a:rPr>
            <a:t>זרה ב' 30% </a:t>
          </a:r>
        </a:p>
      </dgm:t>
    </dgm:pt>
    <dgm:pt modelId="{48E59E62-9079-4A53-B1AC-990CE2B3BA90}" type="parTrans" cxnId="{8B27AFA2-86D6-490E-824C-C25F93C3B85D}">
      <dgm:prSet/>
      <dgm:spPr/>
      <dgm:t>
        <a:bodyPr/>
        <a:lstStyle/>
        <a:p>
          <a:pPr rtl="1"/>
          <a:endParaRPr lang="he-IL"/>
        </a:p>
      </dgm:t>
    </dgm:pt>
    <dgm:pt modelId="{3D298044-8D90-40EE-B8B5-F87C47422C0F}" type="sibTrans" cxnId="{8B27AFA2-86D6-490E-824C-C25F93C3B85D}">
      <dgm:prSet/>
      <dgm:spPr/>
      <dgm:t>
        <a:bodyPr/>
        <a:lstStyle/>
        <a:p>
          <a:pPr rtl="1"/>
          <a:endParaRPr lang="he-IL">
            <a:latin typeface="David" panose="020E0502060401010101" pitchFamily="34" charset="-79"/>
            <a:cs typeface="David" panose="020E0502060401010101" pitchFamily="34" charset="-79"/>
          </a:endParaRPr>
        </a:p>
      </dgm:t>
    </dgm:pt>
    <dgm:pt modelId="{35944A80-50E9-4C3A-8C36-EF2B1BEF3586}">
      <dgm:prSet phldrT="[טקסט]"/>
      <dgm:spPr/>
      <dgm:t>
        <a:bodyPr/>
        <a:lstStyle/>
        <a:p>
          <a:pPr rtl="1"/>
          <a:r>
            <a:rPr lang="he-IL">
              <a:latin typeface="David" panose="020E0502060401010101" pitchFamily="34" charset="-79"/>
              <a:cs typeface="David" panose="020E0502060401010101" pitchFamily="34" charset="-79"/>
            </a:rPr>
            <a:t>זרה ג' רוו"ה 1,000 </a:t>
          </a:r>
        </a:p>
      </dgm:t>
    </dgm:pt>
    <dgm:pt modelId="{333A1E7C-028F-4CF3-8516-F65B7003C0B3}" type="parTrans" cxnId="{6A3EF6E6-1026-4815-B5CD-2FA0B5CDCA4A}">
      <dgm:prSet/>
      <dgm:spPr/>
      <dgm:t>
        <a:bodyPr/>
        <a:lstStyle/>
        <a:p>
          <a:pPr rtl="1"/>
          <a:endParaRPr lang="he-IL"/>
        </a:p>
      </dgm:t>
    </dgm:pt>
    <dgm:pt modelId="{2219AEE9-D77F-4C28-BDD5-40F0D995C494}" type="sibTrans" cxnId="{6A3EF6E6-1026-4815-B5CD-2FA0B5CDCA4A}">
      <dgm:prSet/>
      <dgm:spPr/>
      <dgm:t>
        <a:bodyPr/>
        <a:lstStyle/>
        <a:p>
          <a:pPr rtl="1"/>
          <a:endParaRPr lang="he-IL">
            <a:latin typeface="David" panose="020E0502060401010101" pitchFamily="34" charset="-79"/>
            <a:cs typeface="David" panose="020E0502060401010101" pitchFamily="34" charset="-79"/>
          </a:endParaRPr>
        </a:p>
      </dgm:t>
    </dgm:pt>
    <dgm:pt modelId="{8606A31C-7E16-4B73-B203-B69EB1D132DB}">
      <dgm:prSet phldrT="[טקסט]"/>
      <dgm:spPr/>
      <dgm:t>
        <a:bodyPr/>
        <a:lstStyle/>
        <a:p>
          <a:pPr rtl="1"/>
          <a:r>
            <a:rPr lang="he-IL">
              <a:latin typeface="David" panose="020E0502060401010101" pitchFamily="34" charset="-79"/>
              <a:cs typeface="David" panose="020E0502060401010101" pitchFamily="34" charset="-79"/>
            </a:rPr>
            <a:t>זרה א' 60%</a:t>
          </a:r>
        </a:p>
      </dgm:t>
    </dgm:pt>
    <dgm:pt modelId="{9A038098-9EE2-4574-962D-A240E4935E23}" type="parTrans" cxnId="{0C18B130-D3E0-491E-8611-458A39A1781A}">
      <dgm:prSet/>
      <dgm:spPr/>
      <dgm:t>
        <a:bodyPr/>
        <a:lstStyle/>
        <a:p>
          <a:pPr rtl="1"/>
          <a:endParaRPr lang="he-IL"/>
        </a:p>
      </dgm:t>
    </dgm:pt>
    <dgm:pt modelId="{0D4529AE-50B7-419F-A496-F62BDC52A471}" type="sibTrans" cxnId="{0C18B130-D3E0-491E-8611-458A39A1781A}">
      <dgm:prSet/>
      <dgm:spPr/>
      <dgm:t>
        <a:bodyPr/>
        <a:lstStyle/>
        <a:p>
          <a:pPr rtl="1"/>
          <a:r>
            <a:rPr lang="he-IL">
              <a:latin typeface="David" panose="020E0502060401010101" pitchFamily="34" charset="-79"/>
              <a:cs typeface="David" panose="020E0502060401010101" pitchFamily="34" charset="-79"/>
            </a:rPr>
            <a:t>60%</a:t>
          </a:r>
        </a:p>
      </dgm:t>
    </dgm:pt>
    <dgm:pt modelId="{02513981-1DA3-44E0-BCAB-8E2E5216563E}" type="pres">
      <dgm:prSet presAssocID="{4BD53881-C1D5-452F-8B9E-3C9C649B8DC1}" presName="cycle" presStyleCnt="0">
        <dgm:presLayoutVars>
          <dgm:dir/>
          <dgm:resizeHandles val="exact"/>
        </dgm:presLayoutVars>
      </dgm:prSet>
      <dgm:spPr/>
    </dgm:pt>
    <dgm:pt modelId="{3A41D6E9-C31B-4465-8B86-BB6DE3DC7C8D}" type="pres">
      <dgm:prSet presAssocID="{85848A90-6C46-4B77-9E64-498A281627D6}" presName="node" presStyleLbl="node1" presStyleIdx="0" presStyleCnt="4">
        <dgm:presLayoutVars>
          <dgm:bulletEnabled val="1"/>
        </dgm:presLayoutVars>
      </dgm:prSet>
      <dgm:spPr/>
    </dgm:pt>
    <dgm:pt modelId="{1B9AE392-F851-4AC3-BF43-87CF6D8979BD}" type="pres">
      <dgm:prSet presAssocID="{13863AB4-F2BF-4015-BE9F-B952788493FA}" presName="sibTrans" presStyleLbl="sibTrans2D1" presStyleIdx="0" presStyleCnt="4" custAng="16572512" custScaleX="172709"/>
      <dgm:spPr>
        <a:prstGeom prst="downArrow">
          <a:avLst/>
        </a:prstGeom>
      </dgm:spPr>
    </dgm:pt>
    <dgm:pt modelId="{3910B943-7BCF-4D04-A047-E158AA0A857B}" type="pres">
      <dgm:prSet presAssocID="{13863AB4-F2BF-4015-BE9F-B952788493FA}" presName="connectorText" presStyleLbl="sibTrans2D1" presStyleIdx="0" presStyleCnt="4"/>
      <dgm:spPr/>
    </dgm:pt>
    <dgm:pt modelId="{8F1B851C-7A6C-421F-BCDF-CECA075F5C10}" type="pres">
      <dgm:prSet presAssocID="{9F7AF92E-8495-4726-8026-0A165959D55E}" presName="node" presStyleLbl="node1" presStyleIdx="1" presStyleCnt="4">
        <dgm:presLayoutVars>
          <dgm:bulletEnabled val="1"/>
        </dgm:presLayoutVars>
      </dgm:prSet>
      <dgm:spPr/>
      <dgm:t>
        <a:bodyPr/>
        <a:lstStyle/>
        <a:p>
          <a:pPr rtl="1"/>
          <a:endParaRPr lang="he-IL"/>
        </a:p>
      </dgm:t>
    </dgm:pt>
    <dgm:pt modelId="{9B5BB03D-E652-4604-A74F-E23775233754}" type="pres">
      <dgm:prSet presAssocID="{3D298044-8D90-40EE-B8B5-F87C47422C0F}" presName="sibTrans" presStyleLbl="sibTrans2D1" presStyleIdx="1" presStyleCnt="4"/>
      <dgm:spPr/>
      <dgm:t>
        <a:bodyPr/>
        <a:lstStyle/>
        <a:p>
          <a:pPr rtl="1"/>
          <a:endParaRPr lang="he-IL"/>
        </a:p>
      </dgm:t>
    </dgm:pt>
    <dgm:pt modelId="{5760BC94-F6FE-4569-92ED-AEEF2AC95F01}" type="pres">
      <dgm:prSet presAssocID="{3D298044-8D90-40EE-B8B5-F87C47422C0F}" presName="connectorText" presStyleLbl="sibTrans2D1" presStyleIdx="1" presStyleCnt="4"/>
      <dgm:spPr/>
      <dgm:t>
        <a:bodyPr/>
        <a:lstStyle/>
        <a:p>
          <a:pPr rtl="1"/>
          <a:endParaRPr lang="he-IL"/>
        </a:p>
      </dgm:t>
    </dgm:pt>
    <dgm:pt modelId="{BEAA3A30-57ED-4266-8EB1-ABAF4F1F09CB}" type="pres">
      <dgm:prSet presAssocID="{35944A80-50E9-4C3A-8C36-EF2B1BEF3586}" presName="node" presStyleLbl="node1" presStyleIdx="2" presStyleCnt="4">
        <dgm:presLayoutVars>
          <dgm:bulletEnabled val="1"/>
        </dgm:presLayoutVars>
      </dgm:prSet>
      <dgm:spPr/>
    </dgm:pt>
    <dgm:pt modelId="{6830E44D-D4A2-46E3-8696-E38014BA3C6F}" type="pres">
      <dgm:prSet presAssocID="{2219AEE9-D77F-4C28-BDD5-40F0D995C494}" presName="sibTrans" presStyleLbl="sibTrans2D1" presStyleIdx="2" presStyleCnt="4" custAng="10523807"/>
      <dgm:spPr/>
    </dgm:pt>
    <dgm:pt modelId="{8E7E148B-93D7-4309-818D-3AA7486B1650}" type="pres">
      <dgm:prSet presAssocID="{2219AEE9-D77F-4C28-BDD5-40F0D995C494}" presName="connectorText" presStyleLbl="sibTrans2D1" presStyleIdx="2" presStyleCnt="4"/>
      <dgm:spPr/>
    </dgm:pt>
    <dgm:pt modelId="{540BA48A-5A2D-493E-816E-E435DF5A3204}" type="pres">
      <dgm:prSet presAssocID="{8606A31C-7E16-4B73-B203-B69EB1D132DB}" presName="node" presStyleLbl="node1" presStyleIdx="3" presStyleCnt="4">
        <dgm:presLayoutVars>
          <dgm:bulletEnabled val="1"/>
        </dgm:presLayoutVars>
      </dgm:prSet>
      <dgm:spPr/>
      <dgm:t>
        <a:bodyPr/>
        <a:lstStyle/>
        <a:p>
          <a:pPr rtl="1"/>
          <a:endParaRPr lang="he-IL"/>
        </a:p>
      </dgm:t>
    </dgm:pt>
    <dgm:pt modelId="{0F8D4A12-F9D5-43BC-A834-7B5EB30D3B8C}" type="pres">
      <dgm:prSet presAssocID="{0D4529AE-50B7-419F-A496-F62BDC52A471}" presName="sibTrans" presStyleLbl="sibTrans2D1" presStyleIdx="3" presStyleCnt="4" custAng="5278396" custScaleX="203443"/>
      <dgm:spPr>
        <a:prstGeom prst="downArrow">
          <a:avLst/>
        </a:prstGeom>
      </dgm:spPr>
    </dgm:pt>
    <dgm:pt modelId="{7BBD6AB3-423E-49EC-9DF7-2117D61786E2}" type="pres">
      <dgm:prSet presAssocID="{0D4529AE-50B7-419F-A496-F62BDC52A471}" presName="connectorText" presStyleLbl="sibTrans2D1" presStyleIdx="3" presStyleCnt="4"/>
      <dgm:spPr>
        <a:prstGeom prst="downArrow">
          <a:avLst/>
        </a:prstGeom>
      </dgm:spPr>
    </dgm:pt>
  </dgm:ptLst>
  <dgm:cxnLst>
    <dgm:cxn modelId="{B7DAF4B1-3AD7-4A72-8EF6-AAA7011E95BB}" type="presOf" srcId="{13863AB4-F2BF-4015-BE9F-B952788493FA}" destId="{1B9AE392-F851-4AC3-BF43-87CF6D8979BD}" srcOrd="0" destOrd="0" presId="urn:microsoft.com/office/officeart/2005/8/layout/cycle2"/>
    <dgm:cxn modelId="{5340A6E1-910B-4711-89DE-0DD6367C1E1D}" type="presOf" srcId="{8606A31C-7E16-4B73-B203-B69EB1D132DB}" destId="{540BA48A-5A2D-493E-816E-E435DF5A3204}" srcOrd="0" destOrd="0" presId="urn:microsoft.com/office/officeart/2005/8/layout/cycle2"/>
    <dgm:cxn modelId="{B28B945A-8598-41CD-B284-50969CE89C74}" type="presOf" srcId="{4BD53881-C1D5-452F-8B9E-3C9C649B8DC1}" destId="{02513981-1DA3-44E0-BCAB-8E2E5216563E}" srcOrd="0" destOrd="0" presId="urn:microsoft.com/office/officeart/2005/8/layout/cycle2"/>
    <dgm:cxn modelId="{526DF7FA-7B12-4D5E-83EA-A98F0EAB8713}" type="presOf" srcId="{2219AEE9-D77F-4C28-BDD5-40F0D995C494}" destId="{6830E44D-D4A2-46E3-8696-E38014BA3C6F}" srcOrd="0" destOrd="0" presId="urn:microsoft.com/office/officeart/2005/8/layout/cycle2"/>
    <dgm:cxn modelId="{C723022F-FDF1-4F41-8724-7A2DA41EE4B6}" type="presOf" srcId="{0D4529AE-50B7-419F-A496-F62BDC52A471}" destId="{0F8D4A12-F9D5-43BC-A834-7B5EB30D3B8C}" srcOrd="0" destOrd="0" presId="urn:microsoft.com/office/officeart/2005/8/layout/cycle2"/>
    <dgm:cxn modelId="{BC95ABE6-C2A1-4BA9-A866-46EE7C7C6021}" srcId="{4BD53881-C1D5-452F-8B9E-3C9C649B8DC1}" destId="{85848A90-6C46-4B77-9E64-498A281627D6}" srcOrd="0" destOrd="0" parTransId="{94A55CA4-0B4C-4AA0-992A-93DE2E60C004}" sibTransId="{13863AB4-F2BF-4015-BE9F-B952788493FA}"/>
    <dgm:cxn modelId="{76D8542F-9C6F-4F08-923A-E3EEF012FC83}" type="presOf" srcId="{3D298044-8D90-40EE-B8B5-F87C47422C0F}" destId="{9B5BB03D-E652-4604-A74F-E23775233754}" srcOrd="0" destOrd="0" presId="urn:microsoft.com/office/officeart/2005/8/layout/cycle2"/>
    <dgm:cxn modelId="{5AA26447-F614-4D22-BC3E-2547F3960C3E}" type="presOf" srcId="{2219AEE9-D77F-4C28-BDD5-40F0D995C494}" destId="{8E7E148B-93D7-4309-818D-3AA7486B1650}" srcOrd="1" destOrd="0" presId="urn:microsoft.com/office/officeart/2005/8/layout/cycle2"/>
    <dgm:cxn modelId="{8B27AFA2-86D6-490E-824C-C25F93C3B85D}" srcId="{4BD53881-C1D5-452F-8B9E-3C9C649B8DC1}" destId="{9F7AF92E-8495-4726-8026-0A165959D55E}" srcOrd="1" destOrd="0" parTransId="{48E59E62-9079-4A53-B1AC-990CE2B3BA90}" sibTransId="{3D298044-8D90-40EE-B8B5-F87C47422C0F}"/>
    <dgm:cxn modelId="{0A3E826E-A93A-492C-86D0-7D42375ACEAF}" type="presOf" srcId="{0D4529AE-50B7-419F-A496-F62BDC52A471}" destId="{7BBD6AB3-423E-49EC-9DF7-2117D61786E2}" srcOrd="1" destOrd="0" presId="urn:microsoft.com/office/officeart/2005/8/layout/cycle2"/>
    <dgm:cxn modelId="{3BCFD52F-0ED9-462D-A696-6332D6961EBA}" type="presOf" srcId="{9F7AF92E-8495-4726-8026-0A165959D55E}" destId="{8F1B851C-7A6C-421F-BCDF-CECA075F5C10}" srcOrd="0" destOrd="0" presId="urn:microsoft.com/office/officeart/2005/8/layout/cycle2"/>
    <dgm:cxn modelId="{DD0505BB-7228-468B-ADC2-F9B89B390A51}" type="presOf" srcId="{3D298044-8D90-40EE-B8B5-F87C47422C0F}" destId="{5760BC94-F6FE-4569-92ED-AEEF2AC95F01}" srcOrd="1" destOrd="0" presId="urn:microsoft.com/office/officeart/2005/8/layout/cycle2"/>
    <dgm:cxn modelId="{A8C1192D-7D32-4A6E-920E-D1C7DBC0D2A5}" type="presOf" srcId="{85848A90-6C46-4B77-9E64-498A281627D6}" destId="{3A41D6E9-C31B-4465-8B86-BB6DE3DC7C8D}" srcOrd="0" destOrd="0" presId="urn:microsoft.com/office/officeart/2005/8/layout/cycle2"/>
    <dgm:cxn modelId="{ACBDBF2E-46ED-490B-A04C-7892A2E48E3B}" type="presOf" srcId="{35944A80-50E9-4C3A-8C36-EF2B1BEF3586}" destId="{BEAA3A30-57ED-4266-8EB1-ABAF4F1F09CB}" srcOrd="0" destOrd="0" presId="urn:microsoft.com/office/officeart/2005/8/layout/cycle2"/>
    <dgm:cxn modelId="{E9A955BE-7EDA-4E04-8306-6ECBA567B187}" type="presOf" srcId="{13863AB4-F2BF-4015-BE9F-B952788493FA}" destId="{3910B943-7BCF-4D04-A047-E158AA0A857B}" srcOrd="1" destOrd="0" presId="urn:microsoft.com/office/officeart/2005/8/layout/cycle2"/>
    <dgm:cxn modelId="{0C18B130-D3E0-491E-8611-458A39A1781A}" srcId="{4BD53881-C1D5-452F-8B9E-3C9C649B8DC1}" destId="{8606A31C-7E16-4B73-B203-B69EB1D132DB}" srcOrd="3" destOrd="0" parTransId="{9A038098-9EE2-4574-962D-A240E4935E23}" sibTransId="{0D4529AE-50B7-419F-A496-F62BDC52A471}"/>
    <dgm:cxn modelId="{6A3EF6E6-1026-4815-B5CD-2FA0B5CDCA4A}" srcId="{4BD53881-C1D5-452F-8B9E-3C9C649B8DC1}" destId="{35944A80-50E9-4C3A-8C36-EF2B1BEF3586}" srcOrd="2" destOrd="0" parTransId="{333A1E7C-028F-4CF3-8516-F65B7003C0B3}" sibTransId="{2219AEE9-D77F-4C28-BDD5-40F0D995C494}"/>
    <dgm:cxn modelId="{E840E3F0-7FE3-4D17-830D-62832BFE45B3}" type="presParOf" srcId="{02513981-1DA3-44E0-BCAB-8E2E5216563E}" destId="{3A41D6E9-C31B-4465-8B86-BB6DE3DC7C8D}" srcOrd="0" destOrd="0" presId="urn:microsoft.com/office/officeart/2005/8/layout/cycle2"/>
    <dgm:cxn modelId="{7A8C0A0D-2FB7-4ADF-9317-6A465B27EBF4}" type="presParOf" srcId="{02513981-1DA3-44E0-BCAB-8E2E5216563E}" destId="{1B9AE392-F851-4AC3-BF43-87CF6D8979BD}" srcOrd="1" destOrd="0" presId="urn:microsoft.com/office/officeart/2005/8/layout/cycle2"/>
    <dgm:cxn modelId="{569F3AA5-9643-40C7-AC9F-BECC06B9BCDB}" type="presParOf" srcId="{1B9AE392-F851-4AC3-BF43-87CF6D8979BD}" destId="{3910B943-7BCF-4D04-A047-E158AA0A857B}" srcOrd="0" destOrd="0" presId="urn:microsoft.com/office/officeart/2005/8/layout/cycle2"/>
    <dgm:cxn modelId="{CD2C8FF3-4E05-4FC4-9B41-4201188B5CBA}" type="presParOf" srcId="{02513981-1DA3-44E0-BCAB-8E2E5216563E}" destId="{8F1B851C-7A6C-421F-BCDF-CECA075F5C10}" srcOrd="2" destOrd="0" presId="urn:microsoft.com/office/officeart/2005/8/layout/cycle2"/>
    <dgm:cxn modelId="{051E124C-5E8E-4DD8-AD07-32C0C5DDCA03}" type="presParOf" srcId="{02513981-1DA3-44E0-BCAB-8E2E5216563E}" destId="{9B5BB03D-E652-4604-A74F-E23775233754}" srcOrd="3" destOrd="0" presId="urn:microsoft.com/office/officeart/2005/8/layout/cycle2"/>
    <dgm:cxn modelId="{C3145F60-2022-4031-8ED8-A35D0D22C459}" type="presParOf" srcId="{9B5BB03D-E652-4604-A74F-E23775233754}" destId="{5760BC94-F6FE-4569-92ED-AEEF2AC95F01}" srcOrd="0" destOrd="0" presId="urn:microsoft.com/office/officeart/2005/8/layout/cycle2"/>
    <dgm:cxn modelId="{EE0C6F9A-4479-4654-B4A2-91485F743311}" type="presParOf" srcId="{02513981-1DA3-44E0-BCAB-8E2E5216563E}" destId="{BEAA3A30-57ED-4266-8EB1-ABAF4F1F09CB}" srcOrd="4" destOrd="0" presId="urn:microsoft.com/office/officeart/2005/8/layout/cycle2"/>
    <dgm:cxn modelId="{A460EC96-AE58-4102-906B-7420187AB807}" type="presParOf" srcId="{02513981-1DA3-44E0-BCAB-8E2E5216563E}" destId="{6830E44D-D4A2-46E3-8696-E38014BA3C6F}" srcOrd="5" destOrd="0" presId="urn:microsoft.com/office/officeart/2005/8/layout/cycle2"/>
    <dgm:cxn modelId="{946504DD-4076-45B5-8190-2C3DA11E7F71}" type="presParOf" srcId="{6830E44D-D4A2-46E3-8696-E38014BA3C6F}" destId="{8E7E148B-93D7-4309-818D-3AA7486B1650}" srcOrd="0" destOrd="0" presId="urn:microsoft.com/office/officeart/2005/8/layout/cycle2"/>
    <dgm:cxn modelId="{3DF99467-23BC-4C41-B1BE-16A287726DEE}" type="presParOf" srcId="{02513981-1DA3-44E0-BCAB-8E2E5216563E}" destId="{540BA48A-5A2D-493E-816E-E435DF5A3204}" srcOrd="6" destOrd="0" presId="urn:microsoft.com/office/officeart/2005/8/layout/cycle2"/>
    <dgm:cxn modelId="{911E80D7-8C16-4E50-937C-17588C5BA732}" type="presParOf" srcId="{02513981-1DA3-44E0-BCAB-8E2E5216563E}" destId="{0F8D4A12-F9D5-43BC-A834-7B5EB30D3B8C}" srcOrd="7" destOrd="0" presId="urn:microsoft.com/office/officeart/2005/8/layout/cycle2"/>
    <dgm:cxn modelId="{247C82C2-3F4F-4810-9476-E9CA65E37CB3}" type="presParOf" srcId="{0F8D4A12-F9D5-43BC-A834-7B5EB30D3B8C}" destId="{7BBD6AB3-423E-49EC-9DF7-2117D61786E2}"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CCE79-446F-4D14-A053-136555C1A274}">
      <dsp:nvSpPr>
        <dsp:cNvPr id="0" name=""/>
        <dsp:cNvSpPr/>
      </dsp:nvSpPr>
      <dsp:spPr>
        <a:xfrm>
          <a:off x="3045" y="10448"/>
          <a:ext cx="846001" cy="84600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רווחים פאסיביים שלא חולקו כדיבידנד</a:t>
          </a:r>
          <a:endParaRPr lang="he-IL" sz="1000" kern="1200">
            <a:latin typeface="David" panose="020E0502060401010101" pitchFamily="34" charset="-79"/>
            <a:cs typeface="David" panose="020E0502060401010101" pitchFamily="34" charset="-79"/>
          </a:endParaRPr>
        </a:p>
      </dsp:txBody>
      <dsp:txXfrm>
        <a:off x="126939" y="134342"/>
        <a:ext cx="598213" cy="598213"/>
      </dsp:txXfrm>
    </dsp:sp>
    <dsp:sp modelId="{D6719EEB-185F-42BD-BBCF-D1C9FAB5B911}">
      <dsp:nvSpPr>
        <dsp:cNvPr id="0" name=""/>
        <dsp:cNvSpPr/>
      </dsp:nvSpPr>
      <dsp:spPr>
        <a:xfrm>
          <a:off x="917741" y="355828"/>
          <a:ext cx="490680" cy="155241"/>
        </a:xfrm>
        <a:prstGeom prst="flowChartTerminator">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a:off x="940867" y="378561"/>
        <a:ext cx="444428" cy="109775"/>
      </dsp:txXfrm>
    </dsp:sp>
    <dsp:sp modelId="{2C3CA611-DC89-4EE9-844D-611496660695}">
      <dsp:nvSpPr>
        <dsp:cNvPr id="0" name=""/>
        <dsp:cNvSpPr/>
      </dsp:nvSpPr>
      <dsp:spPr>
        <a:xfrm>
          <a:off x="1477117" y="10448"/>
          <a:ext cx="846001" cy="846001"/>
        </a:xfrm>
        <a:prstGeom prst="ellipse">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הפסדים ברי קיזוז</a:t>
          </a:r>
        </a:p>
      </dsp:txBody>
      <dsp:txXfrm>
        <a:off x="1601011" y="134342"/>
        <a:ext cx="598213" cy="598213"/>
      </dsp:txXfrm>
    </dsp:sp>
    <dsp:sp modelId="{7B766EB5-1209-48FD-B824-46DFA84B2559}">
      <dsp:nvSpPr>
        <dsp:cNvPr id="0" name=""/>
        <dsp:cNvSpPr/>
      </dsp:nvSpPr>
      <dsp:spPr>
        <a:xfrm>
          <a:off x="2391814" y="355828"/>
          <a:ext cx="490680" cy="155241"/>
        </a:xfrm>
        <a:prstGeom prst="flowChartTerminator">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a:off x="2414940" y="378561"/>
        <a:ext cx="444428" cy="109775"/>
      </dsp:txXfrm>
    </dsp:sp>
    <dsp:sp modelId="{A41249D9-E9F2-4BF3-AECD-A27584E45141}">
      <dsp:nvSpPr>
        <dsp:cNvPr id="0" name=""/>
        <dsp:cNvSpPr/>
      </dsp:nvSpPr>
      <dsp:spPr>
        <a:xfrm>
          <a:off x="2951190" y="10448"/>
          <a:ext cx="846001" cy="846001"/>
        </a:xfrm>
        <a:prstGeom prst="ellipse">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מיסים שושלמו על הרווחים הפאסיביים</a:t>
          </a:r>
          <a:endParaRPr lang="he-IL" sz="1000" kern="1200">
            <a:latin typeface="David" panose="020E0502060401010101" pitchFamily="34" charset="-79"/>
            <a:cs typeface="David" panose="020E0502060401010101" pitchFamily="34" charset="-79"/>
          </a:endParaRPr>
        </a:p>
      </dsp:txBody>
      <dsp:txXfrm>
        <a:off x="3075084" y="134342"/>
        <a:ext cx="598213" cy="598213"/>
      </dsp:txXfrm>
    </dsp:sp>
    <dsp:sp modelId="{4E97E193-D23B-4F07-B425-4D120D96FA5C}">
      <dsp:nvSpPr>
        <dsp:cNvPr id="0" name=""/>
        <dsp:cNvSpPr/>
      </dsp:nvSpPr>
      <dsp:spPr>
        <a:xfrm>
          <a:off x="3865887" y="188108"/>
          <a:ext cx="490680" cy="490680"/>
        </a:xfrm>
        <a:prstGeom prst="mathEqual">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rtl="1">
            <a:lnSpc>
              <a:spcPct val="90000"/>
            </a:lnSpc>
            <a:spcBef>
              <a:spcPct val="0"/>
            </a:spcBef>
            <a:spcAft>
              <a:spcPct val="35000"/>
            </a:spcAft>
          </a:pPr>
          <a:endParaRPr lang="he-IL" sz="900" kern="1200"/>
        </a:p>
      </dsp:txBody>
      <dsp:txXfrm>
        <a:off x="3930927" y="289188"/>
        <a:ext cx="360600" cy="288520"/>
      </dsp:txXfrm>
    </dsp:sp>
    <dsp:sp modelId="{D37228D4-AA4E-4C08-92EE-EE38632D7A4B}">
      <dsp:nvSpPr>
        <dsp:cNvPr id="0" name=""/>
        <dsp:cNvSpPr/>
      </dsp:nvSpPr>
      <dsp:spPr>
        <a:xfrm>
          <a:off x="4425263" y="10448"/>
          <a:ext cx="846001" cy="846001"/>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b="1" kern="1200">
              <a:latin typeface="David" panose="020E0502060401010101" pitchFamily="34" charset="-79"/>
              <a:cs typeface="David" panose="020E0502060401010101" pitchFamily="34" charset="-79"/>
            </a:rPr>
            <a:t>רווחים שלא שולמו</a:t>
          </a:r>
        </a:p>
      </dsp:txBody>
      <dsp:txXfrm>
        <a:off x="4549157" y="134342"/>
        <a:ext cx="598213" cy="5982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1D6E9-C31B-4465-8B86-BB6DE3DC7C8D}">
      <dsp:nvSpPr>
        <dsp:cNvPr id="0" name=""/>
        <dsp:cNvSpPr/>
      </dsp:nvSpPr>
      <dsp:spPr>
        <a:xfrm>
          <a:off x="975075" y="324"/>
          <a:ext cx="532080" cy="53208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תושב ישראל (חברה) </a:t>
          </a:r>
        </a:p>
      </dsp:txBody>
      <dsp:txXfrm>
        <a:off x="1052996" y="78245"/>
        <a:ext cx="376238" cy="376238"/>
      </dsp:txXfrm>
    </dsp:sp>
    <dsp:sp modelId="{1B9AE392-F851-4AC3-BF43-87CF6D8979BD}">
      <dsp:nvSpPr>
        <dsp:cNvPr id="0" name=""/>
        <dsp:cNvSpPr/>
      </dsp:nvSpPr>
      <dsp:spPr>
        <a:xfrm rot="19272512">
          <a:off x="1398621" y="456199"/>
          <a:ext cx="244237" cy="179577"/>
        </a:xfrm>
        <a:prstGeom prst="downArrow">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40%</a:t>
          </a:r>
        </a:p>
      </dsp:txBody>
      <dsp:txXfrm>
        <a:off x="1404562" y="508989"/>
        <a:ext cx="190364" cy="107747"/>
      </dsp:txXfrm>
    </dsp:sp>
    <dsp:sp modelId="{8F1B851C-7A6C-421F-BCDF-CECA075F5C10}">
      <dsp:nvSpPr>
        <dsp:cNvPr id="0" name=""/>
        <dsp:cNvSpPr/>
      </dsp:nvSpPr>
      <dsp:spPr>
        <a:xfrm>
          <a:off x="1539984" y="565232"/>
          <a:ext cx="532080" cy="532080"/>
        </a:xfrm>
        <a:prstGeom prst="ellipse">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זרה ב' 30% </a:t>
          </a:r>
        </a:p>
      </dsp:txBody>
      <dsp:txXfrm>
        <a:off x="1617905" y="643153"/>
        <a:ext cx="376238" cy="376238"/>
      </dsp:txXfrm>
    </dsp:sp>
    <dsp:sp modelId="{9B5BB03D-E652-4604-A74F-E23775233754}">
      <dsp:nvSpPr>
        <dsp:cNvPr id="0" name=""/>
        <dsp:cNvSpPr/>
      </dsp:nvSpPr>
      <dsp:spPr>
        <a:xfrm rot="8100000">
          <a:off x="1455692" y="1021108"/>
          <a:ext cx="141415" cy="179577"/>
        </a:xfrm>
        <a:prstGeom prst="rightArrow">
          <a:avLst>
            <a:gd name="adj1" fmla="val 60000"/>
            <a:gd name="adj2" fmla="val 50000"/>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rot="10800000">
        <a:off x="1491903" y="1042024"/>
        <a:ext cx="98991" cy="107747"/>
      </dsp:txXfrm>
    </dsp:sp>
    <dsp:sp modelId="{BEAA3A30-57ED-4266-8EB1-ABAF4F1F09CB}">
      <dsp:nvSpPr>
        <dsp:cNvPr id="0" name=""/>
        <dsp:cNvSpPr/>
      </dsp:nvSpPr>
      <dsp:spPr>
        <a:xfrm>
          <a:off x="975075" y="1130141"/>
          <a:ext cx="532080" cy="532080"/>
        </a:xfrm>
        <a:prstGeom prst="ellipse">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זרה ג' רוו"ה 1,000 </a:t>
          </a:r>
        </a:p>
      </dsp:txBody>
      <dsp:txXfrm>
        <a:off x="1052996" y="1208062"/>
        <a:ext cx="376238" cy="376238"/>
      </dsp:txXfrm>
    </dsp:sp>
    <dsp:sp modelId="{6830E44D-D4A2-46E3-8696-E38014BA3C6F}">
      <dsp:nvSpPr>
        <dsp:cNvPr id="0" name=""/>
        <dsp:cNvSpPr/>
      </dsp:nvSpPr>
      <dsp:spPr>
        <a:xfrm rot="2423807">
          <a:off x="890783" y="1026769"/>
          <a:ext cx="141415" cy="179577"/>
        </a:xfrm>
        <a:prstGeom prst="rightArrow">
          <a:avLst>
            <a:gd name="adj1" fmla="val 60000"/>
            <a:gd name="adj2" fmla="val 50000"/>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kern="1200">
            <a:latin typeface="David" panose="020E0502060401010101" pitchFamily="34" charset="-79"/>
            <a:cs typeface="David" panose="020E0502060401010101" pitchFamily="34" charset="-79"/>
          </a:endParaRPr>
        </a:p>
      </dsp:txBody>
      <dsp:txXfrm rot="10800000">
        <a:off x="895840" y="1048937"/>
        <a:ext cx="98991" cy="107747"/>
      </dsp:txXfrm>
    </dsp:sp>
    <dsp:sp modelId="{540BA48A-5A2D-493E-816E-E435DF5A3204}">
      <dsp:nvSpPr>
        <dsp:cNvPr id="0" name=""/>
        <dsp:cNvSpPr/>
      </dsp:nvSpPr>
      <dsp:spPr>
        <a:xfrm>
          <a:off x="410167" y="565232"/>
          <a:ext cx="532080" cy="532080"/>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זרה א' 60%</a:t>
          </a:r>
        </a:p>
      </dsp:txBody>
      <dsp:txXfrm>
        <a:off x="488088" y="643153"/>
        <a:ext cx="376238" cy="376238"/>
      </dsp:txXfrm>
    </dsp:sp>
    <dsp:sp modelId="{0F8D4A12-F9D5-43BC-A834-7B5EB30D3B8C}">
      <dsp:nvSpPr>
        <dsp:cNvPr id="0" name=""/>
        <dsp:cNvSpPr/>
      </dsp:nvSpPr>
      <dsp:spPr>
        <a:xfrm rot="2578396">
          <a:off x="811981" y="461860"/>
          <a:ext cx="287700" cy="179577"/>
        </a:xfrm>
        <a:prstGeom prst="downArrow">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60%</a:t>
          </a:r>
        </a:p>
      </dsp:txBody>
      <dsp:txXfrm>
        <a:off x="899207" y="467883"/>
        <a:ext cx="143850" cy="13468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E77E-E9FB-4A6D-85BA-D6668B9C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1770</Words>
  <Characters>8850</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6</cp:revision>
  <dcterms:created xsi:type="dcterms:W3CDTF">2014-05-19T14:11:00Z</dcterms:created>
  <dcterms:modified xsi:type="dcterms:W3CDTF">2014-05-19T17:06:00Z</dcterms:modified>
</cp:coreProperties>
</file>