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84A22" w:rsidP="00C90E9F">
      <w:pPr>
        <w:spacing w:line="360" w:lineRule="auto"/>
        <w:jc w:val="center"/>
        <w:rPr>
          <w:rFonts w:cs="David"/>
          <w:b/>
          <w:bCs/>
          <w:sz w:val="24"/>
          <w:szCs w:val="24"/>
          <w:u w:val="single"/>
          <w:rtl/>
        </w:rPr>
      </w:pPr>
      <w:r>
        <w:rPr>
          <w:rFonts w:cs="David" w:hint="cs"/>
          <w:b/>
          <w:bCs/>
          <w:sz w:val="24"/>
          <w:szCs w:val="24"/>
          <w:u w:val="single"/>
          <w:rtl/>
        </w:rPr>
        <w:t xml:space="preserve">תיאוריה </w:t>
      </w:r>
      <w:r w:rsidR="007B524F">
        <w:rPr>
          <w:rFonts w:cs="David" w:hint="cs"/>
          <w:b/>
          <w:bCs/>
          <w:sz w:val="24"/>
          <w:szCs w:val="24"/>
          <w:u w:val="single"/>
          <w:rtl/>
        </w:rPr>
        <w:t xml:space="preserve">חשבונאית - </w:t>
      </w:r>
      <w:r>
        <w:rPr>
          <w:rFonts w:cs="David" w:hint="cs"/>
          <w:b/>
          <w:bCs/>
          <w:sz w:val="24"/>
          <w:szCs w:val="24"/>
          <w:u w:val="single"/>
          <w:rtl/>
        </w:rPr>
        <w:t>שיעור 1</w:t>
      </w:r>
    </w:p>
    <w:p w:rsidR="00E619D9" w:rsidRDefault="00E619D9" w:rsidP="002E35C8">
      <w:pPr>
        <w:spacing w:line="360" w:lineRule="auto"/>
        <w:jc w:val="both"/>
        <w:rPr>
          <w:rFonts w:cs="David" w:hint="cs"/>
          <w:sz w:val="24"/>
          <w:szCs w:val="24"/>
          <w:rtl/>
        </w:rPr>
      </w:pPr>
      <w:r>
        <w:rPr>
          <w:rFonts w:cs="David" w:hint="cs"/>
          <w:sz w:val="24"/>
          <w:szCs w:val="24"/>
          <w:rtl/>
        </w:rPr>
        <w:t xml:space="preserve">מרצה : רו"ח יהודה בר </w:t>
      </w:r>
    </w:p>
    <w:p w:rsidR="00E619D9" w:rsidRDefault="00E619D9" w:rsidP="002E35C8">
      <w:pPr>
        <w:spacing w:line="360" w:lineRule="auto"/>
        <w:jc w:val="both"/>
        <w:rPr>
          <w:rFonts w:cs="David"/>
          <w:sz w:val="24"/>
          <w:szCs w:val="24"/>
        </w:rPr>
      </w:pPr>
      <w:r>
        <w:rPr>
          <w:rFonts w:cs="David" w:hint="cs"/>
          <w:sz w:val="24"/>
          <w:szCs w:val="24"/>
          <w:rtl/>
        </w:rPr>
        <w:t xml:space="preserve">מייל: </w:t>
      </w:r>
      <w:r>
        <w:rPr>
          <w:rFonts w:cs="David"/>
          <w:sz w:val="24"/>
          <w:szCs w:val="24"/>
        </w:rPr>
        <w:t>yehudab123@gmail.com</w:t>
      </w:r>
    </w:p>
    <w:p w:rsidR="00E619D9" w:rsidRDefault="001B3CBA" w:rsidP="002E35C8">
      <w:pPr>
        <w:spacing w:line="360" w:lineRule="auto"/>
        <w:jc w:val="both"/>
        <w:rPr>
          <w:rFonts w:cs="David" w:hint="cs"/>
          <w:b/>
          <w:bCs/>
          <w:sz w:val="24"/>
          <w:szCs w:val="24"/>
          <w:u w:val="single"/>
          <w:rtl/>
        </w:rPr>
      </w:pPr>
      <w:r>
        <w:rPr>
          <w:rFonts w:cs="David" w:hint="cs"/>
          <w:b/>
          <w:bCs/>
          <w:sz w:val="24"/>
          <w:szCs w:val="24"/>
          <w:u w:val="single"/>
          <w:rtl/>
        </w:rPr>
        <w:t>1. המסגרת המושגית</w:t>
      </w:r>
      <w:r w:rsidR="000E059B">
        <w:rPr>
          <w:rFonts w:cs="David" w:hint="cs"/>
          <w:b/>
          <w:bCs/>
          <w:sz w:val="24"/>
          <w:szCs w:val="24"/>
          <w:u w:val="single"/>
          <w:rtl/>
        </w:rPr>
        <w:t xml:space="preserve"> </w:t>
      </w:r>
      <w:r w:rsidR="000E059B">
        <w:rPr>
          <w:rFonts w:cs="David"/>
          <w:b/>
          <w:bCs/>
          <w:sz w:val="24"/>
          <w:szCs w:val="24"/>
          <w:u w:val="single"/>
          <w:rtl/>
        </w:rPr>
        <w:t>–</w:t>
      </w:r>
      <w:r w:rsidR="000E059B">
        <w:rPr>
          <w:rFonts w:cs="David" w:hint="cs"/>
          <w:b/>
          <w:bCs/>
          <w:sz w:val="24"/>
          <w:szCs w:val="24"/>
          <w:u w:val="single"/>
          <w:rtl/>
        </w:rPr>
        <w:t xml:space="preserve"> מבוא </w:t>
      </w:r>
      <w:r>
        <w:rPr>
          <w:rFonts w:cs="David" w:hint="cs"/>
          <w:b/>
          <w:bCs/>
          <w:sz w:val="24"/>
          <w:szCs w:val="24"/>
          <w:u w:val="single"/>
          <w:rtl/>
        </w:rPr>
        <w:t xml:space="preserve"> </w:t>
      </w:r>
    </w:p>
    <w:p w:rsidR="00250A74" w:rsidRDefault="001B3CBA" w:rsidP="002E35C8">
      <w:pPr>
        <w:spacing w:line="360" w:lineRule="auto"/>
        <w:jc w:val="both"/>
        <w:rPr>
          <w:rFonts w:cs="David"/>
          <w:sz w:val="24"/>
          <w:szCs w:val="24"/>
          <w:rtl/>
        </w:rPr>
      </w:pPr>
      <w:r>
        <w:rPr>
          <w:rFonts w:cs="David" w:hint="cs"/>
          <w:sz w:val="24"/>
          <w:szCs w:val="24"/>
          <w:rtl/>
        </w:rPr>
        <w:t>התקינה החשבונאית הבינ"</w:t>
      </w:r>
      <w:r w:rsidR="00250A74">
        <w:rPr>
          <w:rFonts w:cs="David" w:hint="cs"/>
          <w:sz w:val="24"/>
          <w:szCs w:val="24"/>
          <w:rtl/>
        </w:rPr>
        <w:t>ל מיושמת בישראל</w:t>
      </w:r>
      <w:r>
        <w:rPr>
          <w:rFonts w:cs="David" w:hint="cs"/>
          <w:sz w:val="24"/>
          <w:szCs w:val="24"/>
          <w:rtl/>
        </w:rPr>
        <w:t>. תקינה זו מבוססת עקרונות ומחייבת אותנו להפעיל שיקול דעת בניתוח סוגיות העומדות לפנינו.</w:t>
      </w:r>
    </w:p>
    <w:p w:rsidR="00571838" w:rsidRDefault="00250A74" w:rsidP="00E173E9">
      <w:pPr>
        <w:spacing w:line="360" w:lineRule="auto"/>
        <w:jc w:val="both"/>
        <w:rPr>
          <w:rFonts w:cs="David"/>
          <w:sz w:val="24"/>
          <w:szCs w:val="24"/>
          <w:rtl/>
        </w:rPr>
      </w:pPr>
      <w:r>
        <w:rPr>
          <w:rFonts w:cs="David" w:hint="cs"/>
          <w:sz w:val="24"/>
          <w:szCs w:val="24"/>
          <w:rtl/>
        </w:rPr>
        <w:t xml:space="preserve">המסגרת המושגית היא מעין חוקה של החשבונאות היא מתווה לנו את הכללים בהבדל קטן אם יש תקן ספציפי ויש בו הוראה ספציפית שסותרת את המסגרת המושגית התקן גובר על המסגרת המושגית. </w:t>
      </w:r>
      <w:r w:rsidR="004949B1">
        <w:rPr>
          <w:rFonts w:cs="David" w:hint="cs"/>
          <w:sz w:val="24"/>
          <w:szCs w:val="24"/>
          <w:rtl/>
        </w:rPr>
        <w:t>בבוא</w:t>
      </w:r>
      <w:r>
        <w:rPr>
          <w:rFonts w:cs="David" w:hint="cs"/>
          <w:sz w:val="24"/>
          <w:szCs w:val="24"/>
          <w:rtl/>
        </w:rPr>
        <w:t xml:space="preserve">נו לבחון סוגיה </w:t>
      </w:r>
      <w:r w:rsidR="004949B1">
        <w:rPr>
          <w:rFonts w:cs="David" w:hint="cs"/>
          <w:sz w:val="24"/>
          <w:szCs w:val="24"/>
          <w:rtl/>
        </w:rPr>
        <w:t xml:space="preserve">חשבונאית נצטרך להחליט מהו התקן הרלוונטי לנושא. חשבונאות מורכבת מתקנים חשבונאיים וממסגרת מושגית. </w:t>
      </w:r>
      <w:r w:rsidR="00571838">
        <w:rPr>
          <w:rFonts w:cs="David" w:hint="cs"/>
          <w:sz w:val="24"/>
          <w:szCs w:val="24"/>
          <w:rtl/>
        </w:rPr>
        <w:t>המסגרת המושגית הינה פרסום של ה-</w:t>
      </w:r>
      <w:r w:rsidR="00571838">
        <w:rPr>
          <w:rFonts w:cs="David" w:hint="cs"/>
          <w:sz w:val="24"/>
          <w:szCs w:val="24"/>
        </w:rPr>
        <w:t>IASB</w:t>
      </w:r>
      <w:r w:rsidR="00571838">
        <w:rPr>
          <w:rFonts w:cs="David" w:hint="cs"/>
          <w:sz w:val="24"/>
          <w:szCs w:val="24"/>
          <w:rtl/>
        </w:rPr>
        <w:t xml:space="preserve"> (המוסד הבינ"ל לתקינה וחשבונאות) ה</w:t>
      </w:r>
      <w:r w:rsidR="0089444A">
        <w:rPr>
          <w:rFonts w:cs="David" w:hint="cs"/>
          <w:sz w:val="24"/>
          <w:szCs w:val="24"/>
          <w:rtl/>
        </w:rPr>
        <w:t>מהווה תשתית לעקרונות החשבונאיים.</w:t>
      </w:r>
    </w:p>
    <w:p w:rsidR="0089444A" w:rsidRDefault="0089444A" w:rsidP="0089444A">
      <w:pPr>
        <w:spacing w:line="360" w:lineRule="auto"/>
        <w:jc w:val="both"/>
        <w:rPr>
          <w:rFonts w:cs="David" w:hint="cs"/>
          <w:b/>
          <w:bCs/>
          <w:sz w:val="24"/>
          <w:szCs w:val="24"/>
          <w:u w:val="single"/>
          <w:rtl/>
        </w:rPr>
      </w:pPr>
      <w:r>
        <w:rPr>
          <w:rFonts w:cs="David" w:hint="cs"/>
          <w:b/>
          <w:bCs/>
          <w:sz w:val="24"/>
          <w:szCs w:val="24"/>
          <w:u w:val="single"/>
          <w:rtl/>
        </w:rPr>
        <w:t xml:space="preserve">1.1 מטרת המסגרת המושגית </w:t>
      </w:r>
    </w:p>
    <w:p w:rsidR="005E2A42" w:rsidRDefault="005E2A42" w:rsidP="005E2A42">
      <w:pPr>
        <w:pStyle w:val="a7"/>
        <w:numPr>
          <w:ilvl w:val="0"/>
          <w:numId w:val="43"/>
        </w:numPr>
        <w:spacing w:line="360" w:lineRule="auto"/>
        <w:jc w:val="both"/>
        <w:rPr>
          <w:rFonts w:cs="David"/>
          <w:sz w:val="24"/>
          <w:szCs w:val="24"/>
        </w:rPr>
      </w:pPr>
      <w:r>
        <w:rPr>
          <w:rFonts w:cs="David" w:hint="cs"/>
          <w:sz w:val="24"/>
          <w:szCs w:val="24"/>
          <w:rtl/>
        </w:rPr>
        <w:t>לסייע לוועדה לתקני חשבונאות בינ"ל לפתח תקנים בעתיד ובסקירה של תקנים קיימים.</w:t>
      </w:r>
    </w:p>
    <w:p w:rsidR="005E2A42" w:rsidRDefault="005E2A42" w:rsidP="005E2A42">
      <w:pPr>
        <w:pStyle w:val="a7"/>
        <w:numPr>
          <w:ilvl w:val="0"/>
          <w:numId w:val="43"/>
        </w:numPr>
        <w:spacing w:line="360" w:lineRule="auto"/>
        <w:jc w:val="both"/>
        <w:rPr>
          <w:rFonts w:cs="David"/>
          <w:sz w:val="24"/>
          <w:szCs w:val="24"/>
        </w:rPr>
      </w:pPr>
      <w:r>
        <w:rPr>
          <w:rFonts w:cs="David" w:hint="cs"/>
          <w:sz w:val="24"/>
          <w:szCs w:val="24"/>
          <w:rtl/>
        </w:rPr>
        <w:t>לסייע לוועדה לקדם הרמוניזציה של התקנים כלומר, שכל התקנים "ינגנו במנגינה אחת"</w:t>
      </w:r>
      <w:r w:rsidR="002024C1">
        <w:rPr>
          <w:rFonts w:cs="David" w:hint="cs"/>
          <w:sz w:val="24"/>
          <w:szCs w:val="24"/>
          <w:rtl/>
        </w:rPr>
        <w:t>.</w:t>
      </w:r>
    </w:p>
    <w:p w:rsidR="005E2A42" w:rsidRDefault="002024C1" w:rsidP="005E2A42">
      <w:pPr>
        <w:pStyle w:val="a7"/>
        <w:numPr>
          <w:ilvl w:val="0"/>
          <w:numId w:val="43"/>
        </w:numPr>
        <w:spacing w:line="360" w:lineRule="auto"/>
        <w:jc w:val="both"/>
        <w:rPr>
          <w:rFonts w:cs="David"/>
          <w:sz w:val="24"/>
          <w:szCs w:val="24"/>
        </w:rPr>
      </w:pPr>
      <w:r>
        <w:rPr>
          <w:rFonts w:cs="David" w:hint="cs"/>
          <w:sz w:val="24"/>
          <w:szCs w:val="24"/>
          <w:rtl/>
        </w:rPr>
        <w:t xml:space="preserve">לסייע לגופי תקינה לאומיים לפתח תקנים מקומיים. </w:t>
      </w:r>
    </w:p>
    <w:p w:rsidR="002024C1" w:rsidRDefault="002024C1" w:rsidP="005E2A42">
      <w:pPr>
        <w:pStyle w:val="a7"/>
        <w:numPr>
          <w:ilvl w:val="0"/>
          <w:numId w:val="43"/>
        </w:numPr>
        <w:spacing w:line="360" w:lineRule="auto"/>
        <w:jc w:val="both"/>
        <w:rPr>
          <w:rFonts w:cs="David"/>
          <w:sz w:val="24"/>
          <w:szCs w:val="24"/>
        </w:rPr>
      </w:pPr>
      <w:r>
        <w:rPr>
          <w:rFonts w:cs="David" w:hint="cs"/>
          <w:sz w:val="24"/>
          <w:szCs w:val="24"/>
          <w:rtl/>
        </w:rPr>
        <w:t>לסייע למכיני הדוכ"ס בכל הנוגע ליישום התקנים ולנושאים שטרם טופלו בתקנים אחרים.</w:t>
      </w:r>
    </w:p>
    <w:p w:rsidR="006672FD" w:rsidRDefault="006672FD" w:rsidP="005E2A42">
      <w:pPr>
        <w:pStyle w:val="a7"/>
        <w:numPr>
          <w:ilvl w:val="0"/>
          <w:numId w:val="43"/>
        </w:numPr>
        <w:spacing w:line="360" w:lineRule="auto"/>
        <w:jc w:val="both"/>
        <w:rPr>
          <w:rFonts w:cs="David" w:hint="cs"/>
          <w:sz w:val="24"/>
          <w:szCs w:val="24"/>
        </w:rPr>
      </w:pPr>
      <w:r>
        <w:rPr>
          <w:rFonts w:cs="David" w:hint="cs"/>
          <w:sz w:val="24"/>
          <w:szCs w:val="24"/>
          <w:rtl/>
        </w:rPr>
        <w:t>לסייע לרו"ח המבקרים לגבש את חוו"ד באשר להתאמתם של הדוכ"ס לתקני הדיווח הכספי הבינ"ל.</w:t>
      </w:r>
    </w:p>
    <w:p w:rsidR="006672FD" w:rsidRDefault="006672FD" w:rsidP="005E2A42">
      <w:pPr>
        <w:pStyle w:val="a7"/>
        <w:numPr>
          <w:ilvl w:val="0"/>
          <w:numId w:val="43"/>
        </w:numPr>
        <w:spacing w:line="360" w:lineRule="auto"/>
        <w:jc w:val="both"/>
        <w:rPr>
          <w:rFonts w:cs="David" w:hint="cs"/>
          <w:sz w:val="24"/>
          <w:szCs w:val="24"/>
        </w:rPr>
      </w:pPr>
      <w:r>
        <w:rPr>
          <w:rFonts w:cs="David" w:hint="cs"/>
          <w:sz w:val="24"/>
          <w:szCs w:val="24"/>
          <w:rtl/>
        </w:rPr>
        <w:t>לסייע למשתמשים בדוכ"ס לפרש את המידע בדו"חות בהתאם לתקני הדיווח הכספי הבינ"ל.</w:t>
      </w:r>
    </w:p>
    <w:p w:rsidR="00F435E5" w:rsidRDefault="006672FD" w:rsidP="005E2A42">
      <w:pPr>
        <w:pStyle w:val="a7"/>
        <w:numPr>
          <w:ilvl w:val="0"/>
          <w:numId w:val="43"/>
        </w:numPr>
        <w:spacing w:line="360" w:lineRule="auto"/>
        <w:jc w:val="both"/>
        <w:rPr>
          <w:rFonts w:cs="David"/>
          <w:sz w:val="24"/>
          <w:szCs w:val="24"/>
        </w:rPr>
      </w:pPr>
      <w:r>
        <w:rPr>
          <w:rFonts w:cs="David" w:hint="cs"/>
          <w:sz w:val="24"/>
          <w:szCs w:val="24"/>
          <w:rtl/>
        </w:rPr>
        <w:t xml:space="preserve">לספק מידע לגורמים המתעניינים בעבודתה של הוועדה לתקני חשבונאות בינ"ל באשר לגישתה של הוועדה </w:t>
      </w:r>
      <w:r w:rsidR="00F435E5">
        <w:rPr>
          <w:rFonts w:cs="David" w:hint="cs"/>
          <w:sz w:val="24"/>
          <w:szCs w:val="24"/>
          <w:rtl/>
        </w:rPr>
        <w:t xml:space="preserve">בקביעת תקני חשבונאות ודיווח כספי. </w:t>
      </w:r>
    </w:p>
    <w:p w:rsidR="00F435E5" w:rsidRPr="00F435E5" w:rsidRDefault="00F435E5" w:rsidP="00F435E5">
      <w:pPr>
        <w:pStyle w:val="a7"/>
        <w:numPr>
          <w:ilvl w:val="0"/>
          <w:numId w:val="44"/>
        </w:numPr>
        <w:spacing w:line="360" w:lineRule="auto"/>
        <w:jc w:val="both"/>
        <w:rPr>
          <w:rFonts w:cs="David" w:hint="cs"/>
          <w:sz w:val="24"/>
          <w:szCs w:val="24"/>
        </w:rPr>
      </w:pPr>
      <w:r>
        <w:rPr>
          <w:rFonts w:cs="David" w:hint="cs"/>
          <w:b/>
          <w:bCs/>
          <w:sz w:val="24"/>
          <w:szCs w:val="24"/>
          <w:rtl/>
        </w:rPr>
        <w:t xml:space="preserve">יש לזכור כי מעמדה של המסגרת המושגית נחות מזו של תקן מסויים, ולכן במקרה של סתירה בין ההוראות התקן הספציפי גובר. במקרים רגילים נלך קודם כל להוראות התקן הספציפי ורק כאשר אין הוראה נבדוק במסגרת המושגית. </w:t>
      </w:r>
    </w:p>
    <w:p w:rsidR="00D55E42" w:rsidRDefault="00D55E42" w:rsidP="00F435E5">
      <w:pPr>
        <w:spacing w:line="360" w:lineRule="auto"/>
        <w:jc w:val="both"/>
        <w:rPr>
          <w:rFonts w:cs="David" w:hint="cs"/>
          <w:b/>
          <w:bCs/>
          <w:sz w:val="24"/>
          <w:szCs w:val="24"/>
          <w:u w:val="single"/>
          <w:rtl/>
        </w:rPr>
      </w:pPr>
      <w:r>
        <w:rPr>
          <w:rFonts w:cs="David" w:hint="cs"/>
          <w:b/>
          <w:bCs/>
          <w:sz w:val="24"/>
          <w:szCs w:val="24"/>
          <w:u w:val="single"/>
          <w:rtl/>
        </w:rPr>
        <w:t>1.2 תחולה</w:t>
      </w:r>
      <w:r w:rsidR="00E173E9">
        <w:rPr>
          <w:rFonts w:cs="David" w:hint="cs"/>
          <w:b/>
          <w:bCs/>
          <w:sz w:val="24"/>
          <w:szCs w:val="24"/>
          <w:u w:val="single"/>
          <w:rtl/>
        </w:rPr>
        <w:t xml:space="preserve"> מבנה המסגרת המושגית.</w:t>
      </w:r>
      <w:r>
        <w:rPr>
          <w:rFonts w:cs="David" w:hint="cs"/>
          <w:b/>
          <w:bCs/>
          <w:sz w:val="24"/>
          <w:szCs w:val="24"/>
          <w:u w:val="single"/>
          <w:rtl/>
        </w:rPr>
        <w:t xml:space="preserve"> </w:t>
      </w:r>
    </w:p>
    <w:p w:rsidR="00D55E42" w:rsidRDefault="00D55E42" w:rsidP="00F435E5">
      <w:pPr>
        <w:spacing w:line="360" w:lineRule="auto"/>
        <w:jc w:val="both"/>
        <w:rPr>
          <w:rFonts w:cs="David"/>
          <w:sz w:val="24"/>
          <w:szCs w:val="24"/>
          <w:rtl/>
        </w:rPr>
      </w:pPr>
      <w:r>
        <w:rPr>
          <w:rFonts w:cs="David" w:hint="cs"/>
          <w:sz w:val="24"/>
          <w:szCs w:val="24"/>
          <w:rtl/>
        </w:rPr>
        <w:t>המסגרת המושגית דנה בתנאים הבאים:</w:t>
      </w:r>
    </w:p>
    <w:p w:rsidR="00D55E42" w:rsidRDefault="00D55E42" w:rsidP="00D55E42">
      <w:pPr>
        <w:pStyle w:val="a7"/>
        <w:numPr>
          <w:ilvl w:val="0"/>
          <w:numId w:val="45"/>
        </w:numPr>
        <w:spacing w:line="360" w:lineRule="auto"/>
        <w:jc w:val="both"/>
        <w:rPr>
          <w:rFonts w:cs="David" w:hint="cs"/>
          <w:sz w:val="24"/>
          <w:szCs w:val="24"/>
        </w:rPr>
      </w:pPr>
      <w:r>
        <w:rPr>
          <w:rFonts w:cs="David" w:hint="cs"/>
          <w:sz w:val="24"/>
          <w:szCs w:val="24"/>
          <w:rtl/>
        </w:rPr>
        <w:t xml:space="preserve">מטרתם של הדוכ"ס </w:t>
      </w:r>
    </w:p>
    <w:p w:rsidR="00D55E42" w:rsidRDefault="00D55E42" w:rsidP="00D55E42">
      <w:pPr>
        <w:pStyle w:val="a7"/>
        <w:numPr>
          <w:ilvl w:val="0"/>
          <w:numId w:val="45"/>
        </w:numPr>
        <w:spacing w:line="360" w:lineRule="auto"/>
        <w:jc w:val="both"/>
        <w:rPr>
          <w:rFonts w:cs="David"/>
          <w:sz w:val="24"/>
          <w:szCs w:val="24"/>
        </w:rPr>
      </w:pPr>
      <w:r>
        <w:rPr>
          <w:rFonts w:cs="David" w:hint="cs"/>
          <w:sz w:val="24"/>
          <w:szCs w:val="24"/>
          <w:rtl/>
        </w:rPr>
        <w:t>המאפיינים האיכותיים הקובעים את שימושיות המידע בדוכ"ס.</w:t>
      </w:r>
    </w:p>
    <w:p w:rsidR="006672FD" w:rsidRDefault="00D55E42" w:rsidP="00D55E42">
      <w:pPr>
        <w:pStyle w:val="a7"/>
        <w:numPr>
          <w:ilvl w:val="0"/>
          <w:numId w:val="45"/>
        </w:numPr>
        <w:spacing w:line="360" w:lineRule="auto"/>
        <w:jc w:val="both"/>
        <w:rPr>
          <w:rFonts w:cs="David"/>
          <w:sz w:val="24"/>
          <w:szCs w:val="24"/>
        </w:rPr>
      </w:pPr>
      <w:r>
        <w:rPr>
          <w:rFonts w:cs="David" w:hint="cs"/>
          <w:sz w:val="24"/>
          <w:szCs w:val="24"/>
          <w:rtl/>
        </w:rPr>
        <w:t xml:space="preserve">הגדרה , הכרה ומדידה של המרכיבים בדוכ"ס למשל: הגדרת נכס , הגדרת התחייבות וכדו'. </w:t>
      </w:r>
      <w:r w:rsidR="00F435E5" w:rsidRPr="00D55E42">
        <w:rPr>
          <w:rFonts w:cs="David" w:hint="cs"/>
          <w:sz w:val="24"/>
          <w:szCs w:val="24"/>
          <w:rtl/>
        </w:rPr>
        <w:t xml:space="preserve"> </w:t>
      </w:r>
      <w:r w:rsidR="006672FD" w:rsidRPr="00D55E42">
        <w:rPr>
          <w:rFonts w:cs="David" w:hint="cs"/>
          <w:sz w:val="24"/>
          <w:szCs w:val="24"/>
          <w:rtl/>
        </w:rPr>
        <w:t xml:space="preserve"> </w:t>
      </w:r>
    </w:p>
    <w:p w:rsidR="00E173E9" w:rsidRDefault="00E173E9" w:rsidP="00D55E42">
      <w:pPr>
        <w:pStyle w:val="a7"/>
        <w:numPr>
          <w:ilvl w:val="0"/>
          <w:numId w:val="45"/>
        </w:numPr>
        <w:spacing w:line="360" w:lineRule="auto"/>
        <w:jc w:val="both"/>
        <w:rPr>
          <w:rFonts w:cs="David" w:hint="cs"/>
          <w:sz w:val="24"/>
          <w:szCs w:val="24"/>
        </w:rPr>
      </w:pPr>
      <w:r>
        <w:rPr>
          <w:rFonts w:cs="David" w:hint="cs"/>
          <w:sz w:val="24"/>
          <w:szCs w:val="24"/>
          <w:rtl/>
        </w:rPr>
        <w:t>תפיסות הון ושימור הון.</w:t>
      </w:r>
    </w:p>
    <w:p w:rsidR="00EE48E5" w:rsidRDefault="00E173E9" w:rsidP="00E173E9">
      <w:pPr>
        <w:spacing w:line="360" w:lineRule="auto"/>
        <w:jc w:val="both"/>
        <w:rPr>
          <w:rFonts w:cs="David" w:hint="cs"/>
          <w:b/>
          <w:bCs/>
          <w:sz w:val="24"/>
          <w:szCs w:val="24"/>
          <w:u w:val="single"/>
          <w:rtl/>
        </w:rPr>
      </w:pPr>
      <w:r w:rsidRPr="00E173E9">
        <w:rPr>
          <w:rFonts w:cs="David" w:hint="cs"/>
          <w:b/>
          <w:bCs/>
          <w:sz w:val="24"/>
          <w:szCs w:val="24"/>
          <w:u w:val="single"/>
          <w:rtl/>
        </w:rPr>
        <w:lastRenderedPageBreak/>
        <w:t>1.3 המטרה של דיווח כספי מיועד לכל</w:t>
      </w:r>
      <w:r>
        <w:rPr>
          <w:rFonts w:cs="David" w:hint="cs"/>
          <w:b/>
          <w:bCs/>
          <w:sz w:val="24"/>
          <w:szCs w:val="24"/>
          <w:u w:val="single"/>
          <w:rtl/>
        </w:rPr>
        <w:t>.</w:t>
      </w:r>
    </w:p>
    <w:p w:rsidR="00E173E9" w:rsidRDefault="00E173E9" w:rsidP="00E173E9">
      <w:pPr>
        <w:spacing w:line="360" w:lineRule="auto"/>
        <w:jc w:val="both"/>
        <w:rPr>
          <w:rFonts w:cs="David"/>
          <w:sz w:val="24"/>
          <w:szCs w:val="24"/>
          <w:rtl/>
        </w:rPr>
      </w:pPr>
      <w:r>
        <w:rPr>
          <w:rFonts w:cs="David" w:hint="cs"/>
          <w:sz w:val="24"/>
          <w:szCs w:val="24"/>
          <w:rtl/>
        </w:rPr>
        <w:t xml:space="preserve">מטרת הדיווח הכספי היא- </w:t>
      </w:r>
      <w:r>
        <w:rPr>
          <w:rFonts w:cs="David" w:hint="cs"/>
          <w:b/>
          <w:bCs/>
          <w:sz w:val="24"/>
          <w:szCs w:val="24"/>
          <w:rtl/>
        </w:rPr>
        <w:t xml:space="preserve">לספק מידע כספי שיהא שימושי למשקיעים קיימים מלווים ונותני אשראי אחרים- </w:t>
      </w:r>
      <w:r>
        <w:rPr>
          <w:rFonts w:cs="David" w:hint="cs"/>
          <w:sz w:val="24"/>
          <w:szCs w:val="24"/>
          <w:rtl/>
        </w:rPr>
        <w:t>המשמעות היא שניתן דגש ע"כ שלא מדובר בקבלת החלטות ניהוליות של בע"מ. (לקרוא "הנורות האדומות לא תמיד דולקות" גלובס).</w:t>
      </w:r>
      <w:r w:rsidR="00C40576">
        <w:rPr>
          <w:rFonts w:cs="David" w:hint="cs"/>
          <w:sz w:val="24"/>
          <w:szCs w:val="24"/>
          <w:rtl/>
        </w:rPr>
        <w:t xml:space="preserve"> כלומר, מטרת הדיווח הכספי אינה לסייע לבע"מ בהחלטות ניהוליות כדוגמת : האם להמשיך את מינויים של הדירקטורים הקיימים וכדו'. </w:t>
      </w:r>
    </w:p>
    <w:p w:rsidR="000E059B" w:rsidRDefault="0074250E" w:rsidP="00425E57">
      <w:pPr>
        <w:spacing w:line="360" w:lineRule="auto"/>
        <w:jc w:val="both"/>
        <w:rPr>
          <w:rFonts w:cs="David"/>
          <w:b/>
          <w:bCs/>
          <w:sz w:val="24"/>
          <w:szCs w:val="24"/>
          <w:rtl/>
        </w:rPr>
      </w:pPr>
      <w:r>
        <w:rPr>
          <w:rFonts w:cs="David" w:hint="cs"/>
          <w:sz w:val="24"/>
          <w:szCs w:val="24"/>
          <w:rtl/>
        </w:rPr>
        <w:t>משקיעים קיימים ופוטנציאליים, מלווים ונותני אשראי אחרים, במקרים רבים אינם יכולים לדרוש מהישות המדווחת לספק להם מידע במישרין ולכן הם חייבים להסתמך על הדיווח הכספי.</w:t>
      </w:r>
      <w:r w:rsidR="00425E57">
        <w:rPr>
          <w:rFonts w:cs="David" w:hint="cs"/>
          <w:sz w:val="24"/>
          <w:szCs w:val="24"/>
          <w:rtl/>
        </w:rPr>
        <w:t xml:space="preserve"> המסגרת המושגית מדגישה כי למרות שגם ההנהלה של הישות המדווחת מעוניינת במידע הכספי לגבי הישות היא אינה צריכה להסתמך על דיווחים כספיים המיועדים לכל, מאחר </w:t>
      </w:r>
      <w:r w:rsidR="00425E57">
        <w:rPr>
          <w:rFonts w:cs="David" w:hint="cs"/>
          <w:b/>
          <w:bCs/>
          <w:sz w:val="24"/>
          <w:szCs w:val="24"/>
          <w:rtl/>
        </w:rPr>
        <w:t>וביכולתה להשיג את המידע הכספי שהיא צריכה באופן פנימי.</w:t>
      </w:r>
    </w:p>
    <w:p w:rsidR="000E059B" w:rsidRDefault="000E059B" w:rsidP="00425E57">
      <w:pPr>
        <w:spacing w:line="360" w:lineRule="auto"/>
        <w:jc w:val="both"/>
        <w:rPr>
          <w:rFonts w:cs="David" w:hint="cs"/>
          <w:b/>
          <w:bCs/>
          <w:sz w:val="24"/>
          <w:szCs w:val="24"/>
          <w:u w:val="single"/>
          <w:rtl/>
        </w:rPr>
      </w:pPr>
      <w:r>
        <w:rPr>
          <w:rFonts w:cs="David" w:hint="cs"/>
          <w:b/>
          <w:bCs/>
          <w:sz w:val="24"/>
          <w:szCs w:val="24"/>
          <w:u w:val="single"/>
          <w:rtl/>
        </w:rPr>
        <w:t>1.4 חשבונאות צבירה</w:t>
      </w:r>
    </w:p>
    <w:p w:rsidR="000E059B" w:rsidRDefault="000E059B" w:rsidP="00425E57">
      <w:pPr>
        <w:spacing w:line="360" w:lineRule="auto"/>
        <w:jc w:val="both"/>
        <w:rPr>
          <w:rFonts w:cs="David"/>
          <w:sz w:val="24"/>
          <w:szCs w:val="24"/>
          <w:rtl/>
        </w:rPr>
      </w:pPr>
      <w:r>
        <w:rPr>
          <w:rFonts w:cs="David" w:hint="cs"/>
          <w:sz w:val="24"/>
          <w:szCs w:val="24"/>
          <w:rtl/>
        </w:rPr>
        <w:t xml:space="preserve">חשבונאות צבירה מתארת את ההשפעות של עסקאות ואירועים על משאבים כלכליים ותביעות של הישות המדווחת בתקופות שההשפעות הללו התרחשו. גם אם תקבולי המזומנים והתשלומים התרחשו בתקופה מאוחרת יותר.   </w:t>
      </w:r>
    </w:p>
    <w:p w:rsidR="000E059B" w:rsidRDefault="000E059B" w:rsidP="00425E57">
      <w:pPr>
        <w:spacing w:line="360" w:lineRule="auto"/>
        <w:jc w:val="both"/>
        <w:rPr>
          <w:rFonts w:cs="David"/>
          <w:sz w:val="24"/>
          <w:szCs w:val="24"/>
          <w:rtl/>
        </w:rPr>
      </w:pPr>
      <w:r>
        <w:rPr>
          <w:rFonts w:cs="David" w:hint="cs"/>
          <w:sz w:val="24"/>
          <w:szCs w:val="24"/>
          <w:rtl/>
        </w:rPr>
        <w:t xml:space="preserve">בצד הנכסים </w:t>
      </w:r>
      <w:r>
        <w:rPr>
          <w:rFonts w:cs="David"/>
          <w:sz w:val="24"/>
          <w:szCs w:val="24"/>
          <w:rtl/>
        </w:rPr>
        <w:t>–</w:t>
      </w:r>
      <w:r>
        <w:rPr>
          <w:rFonts w:cs="David" w:hint="cs"/>
          <w:sz w:val="24"/>
          <w:szCs w:val="24"/>
          <w:rtl/>
        </w:rPr>
        <w:t xml:space="preserve"> הוצאות מראש והכנסות לקבל </w:t>
      </w:r>
    </w:p>
    <w:p w:rsidR="00E173E9" w:rsidRDefault="000E059B" w:rsidP="00425E57">
      <w:pPr>
        <w:spacing w:line="360" w:lineRule="auto"/>
        <w:jc w:val="both"/>
        <w:rPr>
          <w:rFonts w:cs="David"/>
          <w:sz w:val="24"/>
          <w:szCs w:val="24"/>
          <w:rtl/>
        </w:rPr>
      </w:pPr>
      <w:r>
        <w:rPr>
          <w:rFonts w:cs="David" w:hint="cs"/>
          <w:sz w:val="24"/>
          <w:szCs w:val="24"/>
          <w:rtl/>
        </w:rPr>
        <w:t xml:space="preserve">בצד ההתחייבויות </w:t>
      </w:r>
      <w:r>
        <w:rPr>
          <w:rFonts w:cs="David"/>
          <w:sz w:val="24"/>
          <w:szCs w:val="24"/>
          <w:rtl/>
        </w:rPr>
        <w:t>–</w:t>
      </w:r>
      <w:r>
        <w:rPr>
          <w:rFonts w:cs="David" w:hint="cs"/>
          <w:sz w:val="24"/>
          <w:szCs w:val="24"/>
          <w:rtl/>
        </w:rPr>
        <w:t xml:space="preserve"> הוצאות לשלם והכנסות מראש </w:t>
      </w:r>
      <w:r w:rsidR="00425E57">
        <w:rPr>
          <w:rFonts w:cs="David" w:hint="cs"/>
          <w:sz w:val="24"/>
          <w:szCs w:val="24"/>
          <w:rtl/>
        </w:rPr>
        <w:t xml:space="preserve"> </w:t>
      </w:r>
    </w:p>
    <w:p w:rsidR="000E059B" w:rsidRPr="00DA23F5" w:rsidRDefault="000E059B" w:rsidP="00DA23F5">
      <w:pPr>
        <w:pStyle w:val="a7"/>
        <w:numPr>
          <w:ilvl w:val="1"/>
          <w:numId w:val="47"/>
        </w:numPr>
        <w:spacing w:line="360" w:lineRule="auto"/>
        <w:jc w:val="both"/>
        <w:rPr>
          <w:rFonts w:cs="David"/>
          <w:b/>
          <w:bCs/>
          <w:sz w:val="24"/>
          <w:szCs w:val="24"/>
          <w:u w:val="single"/>
          <w:rtl/>
        </w:rPr>
      </w:pPr>
      <w:r w:rsidRPr="00DA23F5">
        <w:rPr>
          <w:rFonts w:cs="David" w:hint="cs"/>
          <w:b/>
          <w:bCs/>
          <w:sz w:val="24"/>
          <w:szCs w:val="24"/>
          <w:u w:val="single"/>
          <w:rtl/>
        </w:rPr>
        <w:t>מאפיינים איכותיים ראשיים</w:t>
      </w:r>
    </w:p>
    <w:p w:rsidR="00DA23F5" w:rsidRPr="00DA23F5" w:rsidRDefault="00DA23F5" w:rsidP="00DA23F5">
      <w:pPr>
        <w:spacing w:line="360" w:lineRule="auto"/>
        <w:jc w:val="both"/>
        <w:rPr>
          <w:rFonts w:cs="David"/>
          <w:b/>
          <w:bCs/>
          <w:sz w:val="24"/>
          <w:szCs w:val="24"/>
          <w:u w:val="single"/>
          <w:rtl/>
        </w:rPr>
      </w:pPr>
      <w:r w:rsidRPr="00DA23F5">
        <w:rPr>
          <w:rFonts w:cs="David" w:hint="cs"/>
          <w:b/>
          <w:bCs/>
          <w:sz w:val="24"/>
          <w:szCs w:val="24"/>
          <w:u w:val="single"/>
          <w:rtl/>
        </w:rPr>
        <w:t xml:space="preserve">1.5.1 </w:t>
      </w:r>
      <w:r w:rsidR="00F53315" w:rsidRPr="00DA23F5">
        <w:rPr>
          <w:rFonts w:cs="David" w:hint="cs"/>
          <w:b/>
          <w:bCs/>
          <w:sz w:val="24"/>
          <w:szCs w:val="24"/>
          <w:u w:val="single"/>
          <w:rtl/>
        </w:rPr>
        <w:t xml:space="preserve">רלוונטיות </w:t>
      </w:r>
    </w:p>
    <w:p w:rsidR="00F53315" w:rsidRPr="00DA23F5" w:rsidRDefault="00F53315" w:rsidP="00DA23F5">
      <w:pPr>
        <w:spacing w:line="360" w:lineRule="auto"/>
        <w:jc w:val="both"/>
        <w:rPr>
          <w:rFonts w:cs="David"/>
          <w:sz w:val="24"/>
          <w:szCs w:val="24"/>
        </w:rPr>
      </w:pPr>
      <w:r w:rsidRPr="00DA23F5">
        <w:rPr>
          <w:rFonts w:cs="David" w:hint="cs"/>
          <w:sz w:val="24"/>
          <w:szCs w:val="24"/>
          <w:rtl/>
        </w:rPr>
        <w:t xml:space="preserve">המסגרת המושגית אומרת כי מידע נחשב לרלוונטי אם הוא מסוגל לשנות את ההחלטות שיתקבלו ע"י המשתמשים, גם אם המשתמשים יבחרו בסופו של דבר לא להשתמש במידע האמור. </w:t>
      </w:r>
      <w:r w:rsidR="000B2494" w:rsidRPr="00DA23F5">
        <w:rPr>
          <w:rFonts w:cs="David" w:hint="cs"/>
          <w:sz w:val="24"/>
          <w:szCs w:val="24"/>
          <w:rtl/>
        </w:rPr>
        <w:t>כדי שמידע יהיה רלוונטי נדרש שיהיה לו ערך חיזוי או ערך אישור או שניהם</w:t>
      </w:r>
      <w:r w:rsidR="00755660" w:rsidRPr="00DA23F5">
        <w:rPr>
          <w:rFonts w:cs="David" w:hint="cs"/>
          <w:sz w:val="24"/>
          <w:szCs w:val="24"/>
          <w:rtl/>
        </w:rPr>
        <w:t>. למידע כספי יש ערך חיזוי, אם ניתן להשתמש בו כנתון לתהליכים שיושמו ע"י המשתמשים כדי לחזות תוצאות עתידיות. מידע כספי הוא בעל ערך אישור אם הוא מספק היזון חוזר (אימותים או שינויים) לגבי הערכות קודמות</w:t>
      </w:r>
      <w:r w:rsidR="00D81BAA" w:rsidRPr="00DA23F5">
        <w:rPr>
          <w:rFonts w:cs="David" w:hint="cs"/>
          <w:sz w:val="24"/>
          <w:szCs w:val="24"/>
          <w:rtl/>
        </w:rPr>
        <w:t xml:space="preserve">. לעיתים מידע ספציפי יכול לשמש לבדיקת שני הדברים ביחד למשל </w:t>
      </w:r>
      <w:r w:rsidR="00DA23F5" w:rsidRPr="00DA23F5">
        <w:rPr>
          <w:rFonts w:cs="David" w:hint="cs"/>
          <w:sz w:val="24"/>
          <w:szCs w:val="24"/>
          <w:rtl/>
        </w:rPr>
        <w:t xml:space="preserve">: מידע על הכנסות השנה השוטפת יכול לשמש כבסיס לחיזוי הכנסות בשנים עתידיות, בנוסף, הוא ניתן להשוואה לתחזיות של ההכנסות לשנה השוטפת אשר נעשו בשנים קודמות. </w:t>
      </w:r>
      <w:r w:rsidR="00755660" w:rsidRPr="00DA23F5">
        <w:rPr>
          <w:rFonts w:cs="David" w:hint="cs"/>
          <w:sz w:val="24"/>
          <w:szCs w:val="24"/>
          <w:rtl/>
        </w:rPr>
        <w:t xml:space="preserve"> </w:t>
      </w:r>
      <w:r w:rsidR="000B2494" w:rsidRPr="00DA23F5">
        <w:rPr>
          <w:rFonts w:cs="David" w:hint="cs"/>
          <w:sz w:val="24"/>
          <w:szCs w:val="24"/>
          <w:rtl/>
        </w:rPr>
        <w:t xml:space="preserve"> </w:t>
      </w:r>
    </w:p>
    <w:p w:rsidR="00DA23F5" w:rsidRDefault="00DA23F5" w:rsidP="00DA23F5">
      <w:pPr>
        <w:spacing w:line="360" w:lineRule="auto"/>
        <w:jc w:val="both"/>
        <w:rPr>
          <w:rFonts w:cs="David"/>
          <w:b/>
          <w:bCs/>
          <w:sz w:val="24"/>
          <w:szCs w:val="24"/>
          <w:u w:val="single"/>
          <w:rtl/>
        </w:rPr>
      </w:pPr>
      <w:r>
        <w:rPr>
          <w:rFonts w:cs="David" w:hint="cs"/>
          <w:b/>
          <w:bCs/>
          <w:sz w:val="24"/>
          <w:szCs w:val="24"/>
          <w:u w:val="single"/>
          <w:rtl/>
        </w:rPr>
        <w:t>1.5.1.1</w:t>
      </w:r>
      <w:r w:rsidRPr="00DA23F5">
        <w:rPr>
          <w:rFonts w:cs="David" w:hint="cs"/>
          <w:b/>
          <w:bCs/>
          <w:sz w:val="24"/>
          <w:szCs w:val="24"/>
          <w:u w:val="single"/>
          <w:rtl/>
        </w:rPr>
        <w:t xml:space="preserve"> גורם בעל קשר ישיר לרלוונטיות - מהותיות</w:t>
      </w:r>
    </w:p>
    <w:p w:rsidR="00425E57" w:rsidRPr="00DA23F5" w:rsidRDefault="00DA23F5" w:rsidP="00DA23F5">
      <w:pPr>
        <w:spacing w:line="360" w:lineRule="auto"/>
        <w:jc w:val="both"/>
        <w:rPr>
          <w:rFonts w:cs="David"/>
          <w:b/>
          <w:bCs/>
          <w:sz w:val="24"/>
          <w:szCs w:val="24"/>
          <w:u w:val="single"/>
          <w:rtl/>
        </w:rPr>
      </w:pPr>
      <w:r>
        <w:rPr>
          <w:rFonts w:cs="David" w:hint="cs"/>
          <w:sz w:val="24"/>
          <w:szCs w:val="24"/>
          <w:rtl/>
        </w:rPr>
        <w:t xml:space="preserve">מידע הוא מהותי אם השמטתו או הצגתו באופן מטעה עלולה להשפיע על החלטות שהמשתמשים מקבלים על בסיס המידע הכספי לגבי הישות המדווחת הספציפית </w:t>
      </w:r>
      <w:bookmarkStart w:id="0" w:name="_GoBack"/>
      <w:bookmarkEnd w:id="0"/>
      <w:r w:rsidR="00F53315" w:rsidRPr="00DA23F5">
        <w:rPr>
          <w:rFonts w:cs="David" w:hint="cs"/>
          <w:b/>
          <w:bCs/>
          <w:sz w:val="24"/>
          <w:szCs w:val="24"/>
          <w:u w:val="single"/>
          <w:rtl/>
        </w:rPr>
        <w:t xml:space="preserve"> </w:t>
      </w:r>
    </w:p>
    <w:p w:rsidR="00E173E9" w:rsidRPr="00E173E9" w:rsidRDefault="00E173E9" w:rsidP="00E173E9">
      <w:pPr>
        <w:spacing w:line="360" w:lineRule="auto"/>
        <w:jc w:val="both"/>
        <w:rPr>
          <w:rFonts w:cs="David"/>
          <w:b/>
          <w:bCs/>
          <w:sz w:val="24"/>
          <w:szCs w:val="24"/>
          <w:u w:val="single"/>
        </w:rPr>
      </w:pPr>
    </w:p>
    <w:sectPr w:rsidR="00E173E9" w:rsidRPr="00E173E9"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52" w:rsidRDefault="00696B52" w:rsidP="00F172F9">
      <w:pPr>
        <w:spacing w:after="0" w:line="240" w:lineRule="auto"/>
      </w:pPr>
      <w:r>
        <w:separator/>
      </w:r>
    </w:p>
  </w:endnote>
  <w:endnote w:type="continuationSeparator" w:id="0">
    <w:p w:rsidR="00696B52" w:rsidRDefault="00696B5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DA23F5" w:rsidRPr="00DA23F5">
          <w:rPr>
            <w:noProof/>
            <w:rtl/>
            <w:lang w:val="he-IL"/>
          </w:rPr>
          <w:t>2</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52" w:rsidRDefault="00696B52" w:rsidP="00F172F9">
      <w:pPr>
        <w:spacing w:after="0" w:line="240" w:lineRule="auto"/>
      </w:pPr>
      <w:r>
        <w:separator/>
      </w:r>
    </w:p>
  </w:footnote>
  <w:footnote w:type="continuationSeparator" w:id="0">
    <w:p w:rsidR="00696B52" w:rsidRDefault="00696B5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193A30">
      <w:rPr>
        <w:rFonts w:cs="David" w:hint="cs"/>
        <w:sz w:val="24"/>
        <w:szCs w:val="24"/>
        <w:rtl/>
      </w:rPr>
      <w:t>01</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C43"/>
    <w:multiLevelType w:val="hybridMultilevel"/>
    <w:tmpl w:val="D234D6A4"/>
    <w:lvl w:ilvl="0" w:tplc="234C5D2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33A3B"/>
    <w:multiLevelType w:val="hybridMultilevel"/>
    <w:tmpl w:val="8E6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9AB"/>
    <w:multiLevelType w:val="hybridMultilevel"/>
    <w:tmpl w:val="CEA65786"/>
    <w:lvl w:ilvl="0" w:tplc="0D6AF64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E4D"/>
    <w:multiLevelType w:val="hybridMultilevel"/>
    <w:tmpl w:val="C1EE74A4"/>
    <w:lvl w:ilvl="0" w:tplc="2F1249FC">
      <w:start w:val="1"/>
      <w:numFmt w:val="decimal"/>
      <w:lvlText w:val="%1."/>
      <w:lvlJc w:val="left"/>
      <w:pPr>
        <w:ind w:left="72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AD0"/>
    <w:multiLevelType w:val="hybridMultilevel"/>
    <w:tmpl w:val="3A24E5FC"/>
    <w:lvl w:ilvl="0" w:tplc="4D261B28">
      <w:start w:val="1"/>
      <w:numFmt w:val="hebrew1"/>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0FA67BF0"/>
    <w:multiLevelType w:val="hybridMultilevel"/>
    <w:tmpl w:val="B08C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AAB"/>
    <w:multiLevelType w:val="hybridMultilevel"/>
    <w:tmpl w:val="E0548642"/>
    <w:lvl w:ilvl="0" w:tplc="2C6C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74D27"/>
    <w:multiLevelType w:val="hybridMultilevel"/>
    <w:tmpl w:val="3FECBABA"/>
    <w:lvl w:ilvl="0" w:tplc="1868AC86">
      <w:start w:val="1"/>
      <w:numFmt w:val="hebrew1"/>
      <w:lvlText w:val="%1."/>
      <w:lvlJc w:val="left"/>
      <w:pPr>
        <w:ind w:left="1080" w:hanging="360"/>
      </w:pPr>
      <w:rPr>
        <w:rFonts w:cs="Davi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A6614"/>
    <w:multiLevelType w:val="hybridMultilevel"/>
    <w:tmpl w:val="98D80A42"/>
    <w:lvl w:ilvl="0" w:tplc="D7E86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3436E"/>
    <w:multiLevelType w:val="hybridMultilevel"/>
    <w:tmpl w:val="34784CC6"/>
    <w:lvl w:ilvl="0" w:tplc="69DA29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0F254A"/>
    <w:multiLevelType w:val="hybridMultilevel"/>
    <w:tmpl w:val="A85E952E"/>
    <w:lvl w:ilvl="0" w:tplc="E4E6FE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DC4E30"/>
    <w:multiLevelType w:val="hybridMultilevel"/>
    <w:tmpl w:val="36CCAF0E"/>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C3C1D"/>
    <w:multiLevelType w:val="hybridMultilevel"/>
    <w:tmpl w:val="09F8D80C"/>
    <w:lvl w:ilvl="0" w:tplc="D840CB8E">
      <w:start w:val="1"/>
      <w:numFmt w:val="decimal"/>
      <w:lvlText w:val="%1."/>
      <w:lvlJc w:val="left"/>
      <w:pPr>
        <w:ind w:left="1080" w:hanging="360"/>
      </w:pPr>
      <w:rPr>
        <w:rFonts w:cs="David"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2C4762"/>
    <w:multiLevelType w:val="hybridMultilevel"/>
    <w:tmpl w:val="3C8C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4D76"/>
    <w:multiLevelType w:val="hybridMultilevel"/>
    <w:tmpl w:val="716EEABE"/>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B278F"/>
    <w:multiLevelType w:val="hybridMultilevel"/>
    <w:tmpl w:val="9BFC914A"/>
    <w:lvl w:ilvl="0" w:tplc="C3DE8FD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B34C8"/>
    <w:multiLevelType w:val="hybridMultilevel"/>
    <w:tmpl w:val="21AE95F8"/>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9F3590"/>
    <w:multiLevelType w:val="hybridMultilevel"/>
    <w:tmpl w:val="D41A93EE"/>
    <w:lvl w:ilvl="0" w:tplc="9AE016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32E51"/>
    <w:multiLevelType w:val="hybridMultilevel"/>
    <w:tmpl w:val="05A282C0"/>
    <w:lvl w:ilvl="0" w:tplc="FC8E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51429B"/>
    <w:multiLevelType w:val="hybridMultilevel"/>
    <w:tmpl w:val="64208398"/>
    <w:lvl w:ilvl="0" w:tplc="C7D49D3C">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8143A"/>
    <w:multiLevelType w:val="multilevel"/>
    <w:tmpl w:val="46B29A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97BF2"/>
    <w:multiLevelType w:val="hybridMultilevel"/>
    <w:tmpl w:val="EDA44888"/>
    <w:lvl w:ilvl="0" w:tplc="F342D5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BC7FD6"/>
    <w:multiLevelType w:val="hybridMultilevel"/>
    <w:tmpl w:val="DA94E7B0"/>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11178"/>
    <w:multiLevelType w:val="hybridMultilevel"/>
    <w:tmpl w:val="396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02EF3"/>
    <w:multiLevelType w:val="hybridMultilevel"/>
    <w:tmpl w:val="CC2C48EC"/>
    <w:lvl w:ilvl="0" w:tplc="445043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0121D"/>
    <w:multiLevelType w:val="hybridMultilevel"/>
    <w:tmpl w:val="FB06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D4CAC"/>
    <w:multiLevelType w:val="hybridMultilevel"/>
    <w:tmpl w:val="3A0AE0F6"/>
    <w:lvl w:ilvl="0" w:tplc="F0020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F72FC"/>
    <w:multiLevelType w:val="hybridMultilevel"/>
    <w:tmpl w:val="438480D6"/>
    <w:lvl w:ilvl="0" w:tplc="3510F91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382500"/>
    <w:multiLevelType w:val="hybridMultilevel"/>
    <w:tmpl w:val="7938CE34"/>
    <w:lvl w:ilvl="0" w:tplc="C8E46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35640"/>
    <w:multiLevelType w:val="hybridMultilevel"/>
    <w:tmpl w:val="8A6E3ADC"/>
    <w:lvl w:ilvl="0" w:tplc="F03E38E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FA10B0"/>
    <w:multiLevelType w:val="hybridMultilevel"/>
    <w:tmpl w:val="7F183FB6"/>
    <w:lvl w:ilvl="0" w:tplc="F0020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561F3"/>
    <w:multiLevelType w:val="hybridMultilevel"/>
    <w:tmpl w:val="F578BC28"/>
    <w:lvl w:ilvl="0" w:tplc="842CF9E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13AFF"/>
    <w:multiLevelType w:val="hybridMultilevel"/>
    <w:tmpl w:val="CD92EADA"/>
    <w:lvl w:ilvl="0" w:tplc="3170142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771E47"/>
    <w:multiLevelType w:val="hybridMultilevel"/>
    <w:tmpl w:val="0D38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F052F"/>
    <w:multiLevelType w:val="hybridMultilevel"/>
    <w:tmpl w:val="26365216"/>
    <w:lvl w:ilvl="0" w:tplc="9B601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C07BAD"/>
    <w:multiLevelType w:val="hybridMultilevel"/>
    <w:tmpl w:val="5A24A478"/>
    <w:lvl w:ilvl="0" w:tplc="FE20CB28">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3">
    <w:nsid w:val="78522582"/>
    <w:multiLevelType w:val="hybridMultilevel"/>
    <w:tmpl w:val="23C6D31E"/>
    <w:lvl w:ilvl="0" w:tplc="D792A9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6">
    <w:nsid w:val="7C687864"/>
    <w:multiLevelType w:val="hybridMultilevel"/>
    <w:tmpl w:val="56AEA3DE"/>
    <w:lvl w:ilvl="0" w:tplc="6E38D4DA">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4"/>
  </w:num>
  <w:num w:numId="2">
    <w:abstractNumId w:val="30"/>
  </w:num>
  <w:num w:numId="3">
    <w:abstractNumId w:val="28"/>
  </w:num>
  <w:num w:numId="4">
    <w:abstractNumId w:val="44"/>
  </w:num>
  <w:num w:numId="5">
    <w:abstractNumId w:val="26"/>
  </w:num>
  <w:num w:numId="6">
    <w:abstractNumId w:val="13"/>
  </w:num>
  <w:num w:numId="7">
    <w:abstractNumId w:val="24"/>
  </w:num>
  <w:num w:numId="8">
    <w:abstractNumId w:val="9"/>
  </w:num>
  <w:num w:numId="9">
    <w:abstractNumId w:val="35"/>
  </w:num>
  <w:num w:numId="10">
    <w:abstractNumId w:val="12"/>
  </w:num>
  <w:num w:numId="11">
    <w:abstractNumId w:val="29"/>
  </w:num>
  <w:num w:numId="12">
    <w:abstractNumId w:val="16"/>
  </w:num>
  <w:num w:numId="13">
    <w:abstractNumId w:val="1"/>
  </w:num>
  <w:num w:numId="14">
    <w:abstractNumId w:val="14"/>
  </w:num>
  <w:num w:numId="15">
    <w:abstractNumId w:val="17"/>
  </w:num>
  <w:num w:numId="16">
    <w:abstractNumId w:val="3"/>
  </w:num>
  <w:num w:numId="17">
    <w:abstractNumId w:val="27"/>
  </w:num>
  <w:num w:numId="18">
    <w:abstractNumId w:val="19"/>
  </w:num>
  <w:num w:numId="19">
    <w:abstractNumId w:val="39"/>
  </w:num>
  <w:num w:numId="20">
    <w:abstractNumId w:val="15"/>
  </w:num>
  <w:num w:numId="21">
    <w:abstractNumId w:val="8"/>
  </w:num>
  <w:num w:numId="22">
    <w:abstractNumId w:val="21"/>
  </w:num>
  <w:num w:numId="23">
    <w:abstractNumId w:val="11"/>
  </w:num>
  <w:num w:numId="24">
    <w:abstractNumId w:val="43"/>
  </w:num>
  <w:num w:numId="25">
    <w:abstractNumId w:val="10"/>
  </w:num>
  <w:num w:numId="26">
    <w:abstractNumId w:val="7"/>
  </w:num>
  <w:num w:numId="27">
    <w:abstractNumId w:val="31"/>
  </w:num>
  <w:num w:numId="28">
    <w:abstractNumId w:val="18"/>
  </w:num>
  <w:num w:numId="29">
    <w:abstractNumId w:val="22"/>
  </w:num>
  <w:num w:numId="30">
    <w:abstractNumId w:val="38"/>
  </w:num>
  <w:num w:numId="31">
    <w:abstractNumId w:val="46"/>
  </w:num>
  <w:num w:numId="32">
    <w:abstractNumId w:val="42"/>
  </w:num>
  <w:num w:numId="33">
    <w:abstractNumId w:val="45"/>
  </w:num>
  <w:num w:numId="34">
    <w:abstractNumId w:val="5"/>
  </w:num>
  <w:num w:numId="35">
    <w:abstractNumId w:val="25"/>
  </w:num>
  <w:num w:numId="36">
    <w:abstractNumId w:val="6"/>
  </w:num>
  <w:num w:numId="37">
    <w:abstractNumId w:val="36"/>
  </w:num>
  <w:num w:numId="38">
    <w:abstractNumId w:val="20"/>
  </w:num>
  <w:num w:numId="39">
    <w:abstractNumId w:val="2"/>
  </w:num>
  <w:num w:numId="40">
    <w:abstractNumId w:val="41"/>
  </w:num>
  <w:num w:numId="41">
    <w:abstractNumId w:val="40"/>
  </w:num>
  <w:num w:numId="42">
    <w:abstractNumId w:val="34"/>
  </w:num>
  <w:num w:numId="43">
    <w:abstractNumId w:val="32"/>
  </w:num>
  <w:num w:numId="44">
    <w:abstractNumId w:val="0"/>
  </w:num>
  <w:num w:numId="45">
    <w:abstractNumId w:val="37"/>
  </w:num>
  <w:num w:numId="46">
    <w:abstractNumId w:val="33"/>
  </w:num>
  <w:num w:numId="4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F40"/>
    <w:rsid w:val="00026152"/>
    <w:rsid w:val="00034437"/>
    <w:rsid w:val="0003559A"/>
    <w:rsid w:val="000363BD"/>
    <w:rsid w:val="0003796F"/>
    <w:rsid w:val="00041671"/>
    <w:rsid w:val="0004273E"/>
    <w:rsid w:val="0004387F"/>
    <w:rsid w:val="00056DB1"/>
    <w:rsid w:val="00057726"/>
    <w:rsid w:val="00062979"/>
    <w:rsid w:val="000711EB"/>
    <w:rsid w:val="000725AB"/>
    <w:rsid w:val="00086A1F"/>
    <w:rsid w:val="000926E7"/>
    <w:rsid w:val="000945A1"/>
    <w:rsid w:val="00094D10"/>
    <w:rsid w:val="000A25BC"/>
    <w:rsid w:val="000B2494"/>
    <w:rsid w:val="000B52B7"/>
    <w:rsid w:val="000C04AC"/>
    <w:rsid w:val="000C4C1E"/>
    <w:rsid w:val="000D3873"/>
    <w:rsid w:val="000D3CF8"/>
    <w:rsid w:val="000D3D75"/>
    <w:rsid w:val="000D4AA1"/>
    <w:rsid w:val="000D5807"/>
    <w:rsid w:val="000E059B"/>
    <w:rsid w:val="000E0AF4"/>
    <w:rsid w:val="000E2D7F"/>
    <w:rsid w:val="000E6B9F"/>
    <w:rsid w:val="000E79CE"/>
    <w:rsid w:val="000F18A0"/>
    <w:rsid w:val="000F5666"/>
    <w:rsid w:val="000F5E3D"/>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761"/>
    <w:rsid w:val="00177F4F"/>
    <w:rsid w:val="00183855"/>
    <w:rsid w:val="00193A30"/>
    <w:rsid w:val="001A3F0D"/>
    <w:rsid w:val="001A3F35"/>
    <w:rsid w:val="001A662B"/>
    <w:rsid w:val="001A6D02"/>
    <w:rsid w:val="001B059C"/>
    <w:rsid w:val="001B3CBA"/>
    <w:rsid w:val="001C0BB8"/>
    <w:rsid w:val="001C2B75"/>
    <w:rsid w:val="001D5043"/>
    <w:rsid w:val="001D7530"/>
    <w:rsid w:val="001E6DAB"/>
    <w:rsid w:val="001F15BC"/>
    <w:rsid w:val="001F1958"/>
    <w:rsid w:val="001F380B"/>
    <w:rsid w:val="001F479D"/>
    <w:rsid w:val="002024C1"/>
    <w:rsid w:val="002135F4"/>
    <w:rsid w:val="00214B39"/>
    <w:rsid w:val="00214B4C"/>
    <w:rsid w:val="00216BD7"/>
    <w:rsid w:val="00225BB1"/>
    <w:rsid w:val="002315F9"/>
    <w:rsid w:val="0024370B"/>
    <w:rsid w:val="00246FBD"/>
    <w:rsid w:val="00250A74"/>
    <w:rsid w:val="00254F19"/>
    <w:rsid w:val="00255E31"/>
    <w:rsid w:val="00257A37"/>
    <w:rsid w:val="00260506"/>
    <w:rsid w:val="00262C3E"/>
    <w:rsid w:val="00263D90"/>
    <w:rsid w:val="00264290"/>
    <w:rsid w:val="00275EFC"/>
    <w:rsid w:val="002853DF"/>
    <w:rsid w:val="00287EC0"/>
    <w:rsid w:val="00287F2F"/>
    <w:rsid w:val="0029387D"/>
    <w:rsid w:val="002952A5"/>
    <w:rsid w:val="00297309"/>
    <w:rsid w:val="002E0EC1"/>
    <w:rsid w:val="002E2812"/>
    <w:rsid w:val="002E35C8"/>
    <w:rsid w:val="002F1E49"/>
    <w:rsid w:val="00303786"/>
    <w:rsid w:val="00304704"/>
    <w:rsid w:val="003054D8"/>
    <w:rsid w:val="00314416"/>
    <w:rsid w:val="00316565"/>
    <w:rsid w:val="003170CB"/>
    <w:rsid w:val="003202F6"/>
    <w:rsid w:val="0034091B"/>
    <w:rsid w:val="003454EF"/>
    <w:rsid w:val="003521B1"/>
    <w:rsid w:val="00353B55"/>
    <w:rsid w:val="00357D7E"/>
    <w:rsid w:val="0036157D"/>
    <w:rsid w:val="00361C9D"/>
    <w:rsid w:val="0036592B"/>
    <w:rsid w:val="00370064"/>
    <w:rsid w:val="003701A4"/>
    <w:rsid w:val="00370E32"/>
    <w:rsid w:val="003716B5"/>
    <w:rsid w:val="0037452A"/>
    <w:rsid w:val="00395B92"/>
    <w:rsid w:val="00396E59"/>
    <w:rsid w:val="003A02AF"/>
    <w:rsid w:val="003A3AEE"/>
    <w:rsid w:val="003A4E5D"/>
    <w:rsid w:val="003B06B6"/>
    <w:rsid w:val="003B16E1"/>
    <w:rsid w:val="003B1C43"/>
    <w:rsid w:val="003B23D6"/>
    <w:rsid w:val="003C1BFB"/>
    <w:rsid w:val="003C2130"/>
    <w:rsid w:val="003C7FE8"/>
    <w:rsid w:val="003D3219"/>
    <w:rsid w:val="003D7939"/>
    <w:rsid w:val="003E4BBC"/>
    <w:rsid w:val="003E63AD"/>
    <w:rsid w:val="003F00CA"/>
    <w:rsid w:val="003F7053"/>
    <w:rsid w:val="00400039"/>
    <w:rsid w:val="00400434"/>
    <w:rsid w:val="00401692"/>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49B1"/>
    <w:rsid w:val="00497449"/>
    <w:rsid w:val="004A1D72"/>
    <w:rsid w:val="004B0A8D"/>
    <w:rsid w:val="004B240E"/>
    <w:rsid w:val="004B46D2"/>
    <w:rsid w:val="004B5A83"/>
    <w:rsid w:val="004B6D28"/>
    <w:rsid w:val="004B7889"/>
    <w:rsid w:val="004C11EE"/>
    <w:rsid w:val="004C473C"/>
    <w:rsid w:val="004C777B"/>
    <w:rsid w:val="004D1A4F"/>
    <w:rsid w:val="004D7AF2"/>
    <w:rsid w:val="004E1233"/>
    <w:rsid w:val="004E2F90"/>
    <w:rsid w:val="004E5619"/>
    <w:rsid w:val="004E653C"/>
    <w:rsid w:val="004F09DC"/>
    <w:rsid w:val="004F1B3C"/>
    <w:rsid w:val="004F370E"/>
    <w:rsid w:val="00502BE8"/>
    <w:rsid w:val="005053DB"/>
    <w:rsid w:val="005153F3"/>
    <w:rsid w:val="00515B02"/>
    <w:rsid w:val="00524307"/>
    <w:rsid w:val="00526E39"/>
    <w:rsid w:val="00530343"/>
    <w:rsid w:val="005306EC"/>
    <w:rsid w:val="005342E9"/>
    <w:rsid w:val="00552BEB"/>
    <w:rsid w:val="00555B82"/>
    <w:rsid w:val="00562509"/>
    <w:rsid w:val="00571838"/>
    <w:rsid w:val="00572488"/>
    <w:rsid w:val="00574866"/>
    <w:rsid w:val="00582DA8"/>
    <w:rsid w:val="00583630"/>
    <w:rsid w:val="00592A52"/>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13AFB"/>
    <w:rsid w:val="006143FA"/>
    <w:rsid w:val="006154DB"/>
    <w:rsid w:val="00616266"/>
    <w:rsid w:val="0063276A"/>
    <w:rsid w:val="006414F2"/>
    <w:rsid w:val="0065582D"/>
    <w:rsid w:val="0065689A"/>
    <w:rsid w:val="006575E9"/>
    <w:rsid w:val="00657D23"/>
    <w:rsid w:val="00661B5C"/>
    <w:rsid w:val="00664FBA"/>
    <w:rsid w:val="006666B8"/>
    <w:rsid w:val="006672FD"/>
    <w:rsid w:val="00670758"/>
    <w:rsid w:val="00674F62"/>
    <w:rsid w:val="006960A1"/>
    <w:rsid w:val="00696B52"/>
    <w:rsid w:val="006A12B0"/>
    <w:rsid w:val="006A1D2A"/>
    <w:rsid w:val="006A1EB0"/>
    <w:rsid w:val="006A40CD"/>
    <w:rsid w:val="006A45C1"/>
    <w:rsid w:val="006A52E7"/>
    <w:rsid w:val="006B6CDF"/>
    <w:rsid w:val="006B794C"/>
    <w:rsid w:val="006C1D44"/>
    <w:rsid w:val="006C3448"/>
    <w:rsid w:val="006C4570"/>
    <w:rsid w:val="006C64D2"/>
    <w:rsid w:val="006C6B61"/>
    <w:rsid w:val="006C7FC0"/>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10D73"/>
    <w:rsid w:val="00811A49"/>
    <w:rsid w:val="0081243A"/>
    <w:rsid w:val="00812F64"/>
    <w:rsid w:val="00820EF7"/>
    <w:rsid w:val="008239B6"/>
    <w:rsid w:val="00831A6F"/>
    <w:rsid w:val="00834C62"/>
    <w:rsid w:val="008503B0"/>
    <w:rsid w:val="0085681E"/>
    <w:rsid w:val="008577C4"/>
    <w:rsid w:val="00861741"/>
    <w:rsid w:val="008630BF"/>
    <w:rsid w:val="00873819"/>
    <w:rsid w:val="00877342"/>
    <w:rsid w:val="00892E3F"/>
    <w:rsid w:val="0089444A"/>
    <w:rsid w:val="0089449D"/>
    <w:rsid w:val="008A5795"/>
    <w:rsid w:val="008B0267"/>
    <w:rsid w:val="008B225B"/>
    <w:rsid w:val="008B503E"/>
    <w:rsid w:val="008C369A"/>
    <w:rsid w:val="008D009F"/>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3E39"/>
    <w:rsid w:val="00955C5B"/>
    <w:rsid w:val="00955DB4"/>
    <w:rsid w:val="00960595"/>
    <w:rsid w:val="00974906"/>
    <w:rsid w:val="00974AC5"/>
    <w:rsid w:val="009778AD"/>
    <w:rsid w:val="009779EE"/>
    <w:rsid w:val="00977C3F"/>
    <w:rsid w:val="00982546"/>
    <w:rsid w:val="00984DD0"/>
    <w:rsid w:val="009A22BC"/>
    <w:rsid w:val="009D033B"/>
    <w:rsid w:val="009D043D"/>
    <w:rsid w:val="009D0B64"/>
    <w:rsid w:val="009D5054"/>
    <w:rsid w:val="009D5289"/>
    <w:rsid w:val="009E32CB"/>
    <w:rsid w:val="009F212B"/>
    <w:rsid w:val="009F4913"/>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6DCF"/>
    <w:rsid w:val="00A52C26"/>
    <w:rsid w:val="00A539B4"/>
    <w:rsid w:val="00A563BE"/>
    <w:rsid w:val="00A670F7"/>
    <w:rsid w:val="00A678FB"/>
    <w:rsid w:val="00A70D1A"/>
    <w:rsid w:val="00A81AB1"/>
    <w:rsid w:val="00A8327A"/>
    <w:rsid w:val="00A838EF"/>
    <w:rsid w:val="00A844E8"/>
    <w:rsid w:val="00A91570"/>
    <w:rsid w:val="00A96198"/>
    <w:rsid w:val="00AA5AFD"/>
    <w:rsid w:val="00AB4C0D"/>
    <w:rsid w:val="00AC09BC"/>
    <w:rsid w:val="00AD3E28"/>
    <w:rsid w:val="00AD68B9"/>
    <w:rsid w:val="00AD6FE1"/>
    <w:rsid w:val="00AE3B4B"/>
    <w:rsid w:val="00AF19BB"/>
    <w:rsid w:val="00AF37D1"/>
    <w:rsid w:val="00AF3C20"/>
    <w:rsid w:val="00AF7358"/>
    <w:rsid w:val="00B011D3"/>
    <w:rsid w:val="00B052CF"/>
    <w:rsid w:val="00B06FAA"/>
    <w:rsid w:val="00B07C2D"/>
    <w:rsid w:val="00B137F9"/>
    <w:rsid w:val="00B15894"/>
    <w:rsid w:val="00B2055A"/>
    <w:rsid w:val="00B31679"/>
    <w:rsid w:val="00B3167D"/>
    <w:rsid w:val="00B52C2E"/>
    <w:rsid w:val="00B741AC"/>
    <w:rsid w:val="00B84A22"/>
    <w:rsid w:val="00B84DB9"/>
    <w:rsid w:val="00B86AFE"/>
    <w:rsid w:val="00B91B0D"/>
    <w:rsid w:val="00B91BF3"/>
    <w:rsid w:val="00B92DC0"/>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7676"/>
    <w:rsid w:val="00C70E35"/>
    <w:rsid w:val="00C70F1B"/>
    <w:rsid w:val="00C7199A"/>
    <w:rsid w:val="00C7584E"/>
    <w:rsid w:val="00C778AE"/>
    <w:rsid w:val="00C77ABB"/>
    <w:rsid w:val="00C77BD5"/>
    <w:rsid w:val="00C857A5"/>
    <w:rsid w:val="00C90E9F"/>
    <w:rsid w:val="00C94B0F"/>
    <w:rsid w:val="00C957B6"/>
    <w:rsid w:val="00C965F1"/>
    <w:rsid w:val="00CA3742"/>
    <w:rsid w:val="00CB4F36"/>
    <w:rsid w:val="00CC1BA0"/>
    <w:rsid w:val="00CC1F14"/>
    <w:rsid w:val="00CC2C8E"/>
    <w:rsid w:val="00CC2CC3"/>
    <w:rsid w:val="00CC39BE"/>
    <w:rsid w:val="00CC5300"/>
    <w:rsid w:val="00CE4C14"/>
    <w:rsid w:val="00CF596B"/>
    <w:rsid w:val="00CF597C"/>
    <w:rsid w:val="00D0419F"/>
    <w:rsid w:val="00D06DBC"/>
    <w:rsid w:val="00D11EC0"/>
    <w:rsid w:val="00D17D54"/>
    <w:rsid w:val="00D24CA0"/>
    <w:rsid w:val="00D273EA"/>
    <w:rsid w:val="00D44E8D"/>
    <w:rsid w:val="00D50990"/>
    <w:rsid w:val="00D54A48"/>
    <w:rsid w:val="00D54D7A"/>
    <w:rsid w:val="00D55E42"/>
    <w:rsid w:val="00D618B7"/>
    <w:rsid w:val="00D7294E"/>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D30C5"/>
    <w:rsid w:val="00DD74F9"/>
    <w:rsid w:val="00DE3FD5"/>
    <w:rsid w:val="00DE4C41"/>
    <w:rsid w:val="00DE6488"/>
    <w:rsid w:val="00DF16BB"/>
    <w:rsid w:val="00DF595C"/>
    <w:rsid w:val="00DF5A11"/>
    <w:rsid w:val="00E03A76"/>
    <w:rsid w:val="00E04E6F"/>
    <w:rsid w:val="00E12D87"/>
    <w:rsid w:val="00E138C5"/>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13610"/>
    <w:rsid w:val="00F172F9"/>
    <w:rsid w:val="00F2280E"/>
    <w:rsid w:val="00F263B2"/>
    <w:rsid w:val="00F27DD0"/>
    <w:rsid w:val="00F37D01"/>
    <w:rsid w:val="00F418E1"/>
    <w:rsid w:val="00F435E5"/>
    <w:rsid w:val="00F47B0F"/>
    <w:rsid w:val="00F53315"/>
    <w:rsid w:val="00F64CAB"/>
    <w:rsid w:val="00F65AA3"/>
    <w:rsid w:val="00F65F11"/>
    <w:rsid w:val="00F661BA"/>
    <w:rsid w:val="00F701BC"/>
    <w:rsid w:val="00F72980"/>
    <w:rsid w:val="00F76940"/>
    <w:rsid w:val="00F76EFD"/>
    <w:rsid w:val="00F81D7C"/>
    <w:rsid w:val="00F8368E"/>
    <w:rsid w:val="00F943F7"/>
    <w:rsid w:val="00F95D4D"/>
    <w:rsid w:val="00FA17A0"/>
    <w:rsid w:val="00FA1875"/>
    <w:rsid w:val="00FB0E02"/>
    <w:rsid w:val="00FB7493"/>
    <w:rsid w:val="00FB77CA"/>
    <w:rsid w:val="00FC412E"/>
    <w:rsid w:val="00FC6956"/>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5556-2BBD-4A30-A326-81BE7F34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585</Words>
  <Characters>2930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27</cp:revision>
  <dcterms:created xsi:type="dcterms:W3CDTF">2014-09-01T14:49:00Z</dcterms:created>
  <dcterms:modified xsi:type="dcterms:W3CDTF">2014-09-01T18:17:00Z</dcterms:modified>
</cp:coreProperties>
</file>