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72D" w:rsidRPr="007073C1" w:rsidRDefault="009B295E" w:rsidP="007073C1">
      <w:pPr>
        <w:spacing w:line="360" w:lineRule="auto"/>
        <w:jc w:val="center"/>
        <w:rPr>
          <w:rFonts w:cs="David"/>
          <w:b/>
          <w:bCs/>
          <w:sz w:val="24"/>
          <w:szCs w:val="24"/>
          <w:u w:val="single"/>
        </w:rPr>
      </w:pPr>
      <w:r w:rsidRPr="007073C1">
        <w:rPr>
          <w:rFonts w:cs="David" w:hint="cs"/>
          <w:b/>
          <w:bCs/>
          <w:sz w:val="24"/>
          <w:szCs w:val="24"/>
          <w:u w:val="single"/>
          <w:rtl/>
        </w:rPr>
        <w:t>מיסים למתקדמים א</w:t>
      </w:r>
      <w:r w:rsidR="00B83888" w:rsidRPr="007073C1">
        <w:rPr>
          <w:rFonts w:cs="David" w:hint="cs"/>
          <w:b/>
          <w:bCs/>
          <w:sz w:val="24"/>
          <w:szCs w:val="24"/>
          <w:u w:val="single"/>
          <w:rtl/>
        </w:rPr>
        <w:t xml:space="preserve">' </w:t>
      </w:r>
      <w:r w:rsidR="00B83888" w:rsidRPr="007073C1">
        <w:rPr>
          <w:rFonts w:cs="David"/>
          <w:b/>
          <w:bCs/>
          <w:sz w:val="24"/>
          <w:szCs w:val="24"/>
          <w:u w:val="single"/>
          <w:rtl/>
        </w:rPr>
        <w:t>–</w:t>
      </w:r>
      <w:r w:rsidR="00EA5EB3">
        <w:rPr>
          <w:rFonts w:cs="David" w:hint="cs"/>
          <w:b/>
          <w:bCs/>
          <w:sz w:val="24"/>
          <w:szCs w:val="24"/>
          <w:u w:val="single"/>
          <w:rtl/>
        </w:rPr>
        <w:t xml:space="preserve"> שיעור 4</w:t>
      </w:r>
    </w:p>
    <w:p w:rsidR="00064426" w:rsidRDefault="00064426" w:rsidP="00064426">
      <w:pPr>
        <w:spacing w:line="360" w:lineRule="auto"/>
        <w:jc w:val="both"/>
        <w:rPr>
          <w:rFonts w:ascii="David" w:eastAsiaTheme="minorEastAsia" w:hAnsi="David" w:cs="David" w:hint="cs"/>
          <w:b/>
          <w:bCs/>
          <w:sz w:val="24"/>
          <w:szCs w:val="24"/>
          <w:u w:val="single"/>
          <w:rtl/>
        </w:rPr>
      </w:pPr>
      <w:r>
        <w:rPr>
          <w:rFonts w:ascii="David" w:eastAsiaTheme="minorEastAsia" w:hAnsi="David" w:cs="David" w:hint="cs"/>
          <w:b/>
          <w:bCs/>
          <w:sz w:val="24"/>
          <w:szCs w:val="24"/>
          <w:u w:val="single"/>
          <w:rtl/>
        </w:rPr>
        <w:t>סעיף 103ג(9)- הפרות מותרות</w:t>
      </w:r>
    </w:p>
    <w:p w:rsidR="00064426" w:rsidRDefault="00064426" w:rsidP="00064426">
      <w:pPr>
        <w:spacing w:line="360" w:lineRule="auto"/>
        <w:jc w:val="both"/>
        <w:rPr>
          <w:rFonts w:ascii="David" w:eastAsiaTheme="minorEastAsia" w:hAnsi="David" w:cs="David"/>
          <w:sz w:val="24"/>
          <w:szCs w:val="24"/>
          <w:rtl/>
        </w:rPr>
      </w:pPr>
      <w:r>
        <w:rPr>
          <w:rFonts w:ascii="David" w:eastAsiaTheme="minorEastAsia" w:hAnsi="David" w:cs="David" w:hint="cs"/>
          <w:sz w:val="24"/>
          <w:szCs w:val="24"/>
          <w:rtl/>
        </w:rPr>
        <w:t>התנאים הם:</w:t>
      </w:r>
    </w:p>
    <w:p w:rsidR="00064426" w:rsidRDefault="00064426" w:rsidP="00064426">
      <w:pPr>
        <w:pStyle w:val="a7"/>
        <w:numPr>
          <w:ilvl w:val="0"/>
          <w:numId w:val="36"/>
        </w:numPr>
        <w:spacing w:line="360" w:lineRule="auto"/>
        <w:jc w:val="both"/>
        <w:rPr>
          <w:rFonts w:ascii="David" w:eastAsiaTheme="minorEastAsia" w:hAnsi="David" w:cs="David" w:hint="cs"/>
          <w:sz w:val="24"/>
          <w:szCs w:val="24"/>
        </w:rPr>
      </w:pPr>
      <w:r>
        <w:rPr>
          <w:rFonts w:ascii="David" w:eastAsiaTheme="minorEastAsia" w:hAnsi="David" w:cs="David" w:hint="cs"/>
          <w:b/>
          <w:bCs/>
          <w:sz w:val="24"/>
          <w:szCs w:val="24"/>
          <w:rtl/>
        </w:rPr>
        <w:t xml:space="preserve">מכירה של 10% לכל היותר </w:t>
      </w:r>
      <w:r>
        <w:rPr>
          <w:rFonts w:ascii="David" w:eastAsiaTheme="minorEastAsia" w:hAnsi="David" w:cs="David"/>
          <w:b/>
          <w:bCs/>
          <w:sz w:val="24"/>
          <w:szCs w:val="24"/>
          <w:rtl/>
        </w:rPr>
        <w:t>–</w:t>
      </w:r>
      <w:r>
        <w:rPr>
          <w:rFonts w:ascii="David" w:eastAsiaTheme="minorEastAsia" w:hAnsi="David" w:cs="David" w:hint="cs"/>
          <w:b/>
          <w:bCs/>
          <w:sz w:val="24"/>
          <w:szCs w:val="24"/>
          <w:rtl/>
        </w:rPr>
        <w:t xml:space="preserve"> </w:t>
      </w:r>
      <w:r>
        <w:rPr>
          <w:rFonts w:ascii="David" w:eastAsiaTheme="minorEastAsia" w:hAnsi="David" w:cs="David" w:hint="cs"/>
          <w:sz w:val="24"/>
          <w:szCs w:val="24"/>
          <w:rtl/>
        </w:rPr>
        <w:t>אחד או יותר מבעלי הזכויות מכר במכירה מרצון 10% מהזכויות שהיו לו בחברה הקולטת או בהסכמת בעלי הזכויות האחרים. אחוז גבוה יותר ובלבד שסך הזכויות הנמכרות לא יעלה על 10% מכלל הזכויות בחברה לפני המכירה לחיצוניים</w:t>
      </w:r>
    </w:p>
    <w:p w:rsidR="00064426" w:rsidRDefault="00064426" w:rsidP="00064426">
      <w:pPr>
        <w:pStyle w:val="a7"/>
        <w:numPr>
          <w:ilvl w:val="0"/>
          <w:numId w:val="36"/>
        </w:numPr>
        <w:spacing w:line="360" w:lineRule="auto"/>
        <w:jc w:val="both"/>
        <w:rPr>
          <w:rFonts w:ascii="David" w:eastAsiaTheme="minorEastAsia" w:hAnsi="David" w:cs="David"/>
          <w:sz w:val="24"/>
          <w:szCs w:val="24"/>
        </w:rPr>
      </w:pPr>
      <w:r>
        <w:rPr>
          <w:rFonts w:ascii="David" w:eastAsiaTheme="minorEastAsia" w:hAnsi="David" w:cs="David" w:hint="cs"/>
          <w:b/>
          <w:bCs/>
          <w:sz w:val="24"/>
          <w:szCs w:val="24"/>
          <w:rtl/>
        </w:rPr>
        <w:t>הקצאת מניות חדשות לחיצוניים במסגרת גיוס הון-</w:t>
      </w:r>
      <w:r>
        <w:rPr>
          <w:rFonts w:ascii="David" w:eastAsiaTheme="minorEastAsia" w:hAnsi="David" w:cs="David" w:hint="cs"/>
          <w:sz w:val="24"/>
          <w:szCs w:val="24"/>
          <w:rtl/>
        </w:rPr>
        <w:t xml:space="preserve"> הקצאה למי שלא היה בעל זכויות בחברה הקולטת לפני ההקצאה </w:t>
      </w:r>
      <w:r>
        <w:rPr>
          <w:rFonts w:ascii="David" w:eastAsiaTheme="minorEastAsia" w:hAnsi="David" w:cs="David"/>
          <w:sz w:val="24"/>
          <w:szCs w:val="24"/>
          <w:rtl/>
        </w:rPr>
        <w:t>–</w:t>
      </w:r>
      <w:r>
        <w:rPr>
          <w:rFonts w:ascii="David" w:eastAsiaTheme="minorEastAsia" w:hAnsi="David" w:cs="David" w:hint="cs"/>
          <w:sz w:val="24"/>
          <w:szCs w:val="24"/>
          <w:rtl/>
        </w:rPr>
        <w:t xml:space="preserve"> ניתן להקצות בשיעור של 25% מהון המניות לפני ההנפקה </w:t>
      </w:r>
      <w:r>
        <w:rPr>
          <w:rFonts w:ascii="David" w:eastAsiaTheme="minorEastAsia" w:hAnsi="David" w:cs="David"/>
          <w:sz w:val="24"/>
          <w:szCs w:val="24"/>
          <w:rtl/>
        </w:rPr>
        <w:t>–</w:t>
      </w:r>
      <w:r>
        <w:rPr>
          <w:rFonts w:ascii="David" w:eastAsiaTheme="minorEastAsia" w:hAnsi="David" w:cs="David" w:hint="cs"/>
          <w:sz w:val="24"/>
          <w:szCs w:val="24"/>
          <w:rtl/>
        </w:rPr>
        <w:t xml:space="preserve"> בתוך הכסף או 20% לאחר ההקצאה לא תחשב כהפרה של סעיף 103ג של תנאי המיזוג. </w:t>
      </w:r>
    </w:p>
    <w:p w:rsidR="00064426" w:rsidRDefault="00064426" w:rsidP="00064426">
      <w:pPr>
        <w:pStyle w:val="a7"/>
        <w:numPr>
          <w:ilvl w:val="0"/>
          <w:numId w:val="36"/>
        </w:numPr>
        <w:spacing w:line="360" w:lineRule="auto"/>
        <w:jc w:val="both"/>
        <w:rPr>
          <w:rFonts w:ascii="David" w:eastAsiaTheme="minorEastAsia" w:hAnsi="David" w:cs="David"/>
          <w:b/>
          <w:bCs/>
          <w:sz w:val="24"/>
          <w:szCs w:val="24"/>
        </w:rPr>
      </w:pPr>
      <w:r w:rsidRPr="00064426">
        <w:rPr>
          <w:rFonts w:ascii="David" w:eastAsiaTheme="minorEastAsia" w:hAnsi="David" w:cs="David" w:hint="cs"/>
          <w:b/>
          <w:bCs/>
          <w:sz w:val="24"/>
          <w:szCs w:val="24"/>
          <w:rtl/>
        </w:rPr>
        <w:t>הנפקה לציבור-</w:t>
      </w:r>
      <w:r w:rsidRPr="00064426">
        <w:rPr>
          <w:rFonts w:ascii="David" w:eastAsiaTheme="minorEastAsia" w:hAnsi="David" w:cs="David" w:hint="cs"/>
          <w:sz w:val="24"/>
          <w:szCs w:val="24"/>
          <w:rtl/>
        </w:rPr>
        <w:t xml:space="preserve"> ניתן להציע לציבור מניות בשיעור של עד 49% מהזכויות בחברה (הנפקה בבורסה)</w:t>
      </w:r>
    </w:p>
    <w:p w:rsidR="00DA091A" w:rsidRPr="00064426" w:rsidRDefault="00064426" w:rsidP="00064426">
      <w:pPr>
        <w:pStyle w:val="a7"/>
        <w:numPr>
          <w:ilvl w:val="0"/>
          <w:numId w:val="36"/>
        </w:numPr>
        <w:spacing w:line="360" w:lineRule="auto"/>
        <w:jc w:val="both"/>
        <w:rPr>
          <w:rFonts w:ascii="David" w:eastAsiaTheme="minorEastAsia" w:hAnsi="David" w:cs="David"/>
          <w:b/>
          <w:bCs/>
          <w:sz w:val="24"/>
          <w:szCs w:val="24"/>
        </w:rPr>
      </w:pPr>
      <w:r w:rsidRPr="00064426">
        <w:rPr>
          <w:rFonts w:ascii="David" w:eastAsiaTheme="minorEastAsia" w:hAnsi="David" w:cs="David" w:hint="cs"/>
          <w:b/>
          <w:bCs/>
          <w:sz w:val="24"/>
          <w:szCs w:val="24"/>
          <w:rtl/>
        </w:rPr>
        <w:t xml:space="preserve">מכירה שלא מרצון 103ג(9א)- </w:t>
      </w:r>
      <w:r w:rsidRPr="00064426">
        <w:rPr>
          <w:rFonts w:ascii="David" w:eastAsiaTheme="minorEastAsia" w:hAnsi="David" w:cs="David" w:hint="cs"/>
          <w:sz w:val="24"/>
          <w:szCs w:val="24"/>
          <w:rtl/>
        </w:rPr>
        <w:t>כהגדרתו בסעיף</w:t>
      </w:r>
    </w:p>
    <w:p w:rsidR="00064426" w:rsidRPr="00064426" w:rsidRDefault="00064426" w:rsidP="00064426">
      <w:pPr>
        <w:pStyle w:val="a7"/>
        <w:numPr>
          <w:ilvl w:val="0"/>
          <w:numId w:val="36"/>
        </w:numPr>
        <w:spacing w:line="360" w:lineRule="auto"/>
        <w:jc w:val="both"/>
        <w:rPr>
          <w:rFonts w:ascii="David" w:eastAsiaTheme="minorEastAsia" w:hAnsi="David" w:cs="David" w:hint="cs"/>
          <w:b/>
          <w:bCs/>
          <w:sz w:val="24"/>
          <w:szCs w:val="24"/>
        </w:rPr>
      </w:pPr>
      <w:r>
        <w:rPr>
          <w:rFonts w:ascii="David" w:eastAsiaTheme="minorEastAsia" w:hAnsi="David" w:cs="David" w:hint="cs"/>
          <w:b/>
          <w:bCs/>
          <w:sz w:val="24"/>
          <w:szCs w:val="24"/>
          <w:rtl/>
        </w:rPr>
        <w:t xml:space="preserve">מכירת כל הזכויות בחברה הקולטת לאחר שנה לפחות ממועד המיזוג </w:t>
      </w:r>
      <w:r>
        <w:rPr>
          <w:rFonts w:ascii="David" w:eastAsiaTheme="minorEastAsia" w:hAnsi="David" w:cs="David"/>
          <w:b/>
          <w:bCs/>
          <w:sz w:val="24"/>
          <w:szCs w:val="24"/>
          <w:rtl/>
        </w:rPr>
        <w:t>–</w:t>
      </w:r>
      <w:r w:rsidRPr="00064426">
        <w:rPr>
          <w:rFonts w:ascii="David" w:eastAsiaTheme="minorEastAsia" w:hAnsi="David" w:cs="David" w:hint="cs"/>
          <w:sz w:val="24"/>
          <w:szCs w:val="24"/>
          <w:rtl/>
        </w:rPr>
        <w:t xml:space="preserve"> מיזוג שכשל בהתאם לסעיף 103ג(9א)(2)</w:t>
      </w:r>
      <w:r>
        <w:rPr>
          <w:rFonts w:ascii="David" w:eastAsiaTheme="minorEastAsia" w:hAnsi="David" w:cs="David" w:hint="cs"/>
          <w:sz w:val="24"/>
          <w:szCs w:val="24"/>
          <w:rtl/>
        </w:rPr>
        <w:t xml:space="preserve"> במידה ואחד או יותר מבעלי הזכויות מכר בתקופה שתחילתה שנה ממועד המיזוג את כל הזכויות שהיו לו בחברה הקולטת לרבות זכויות של צד קשור לו, בתמורה למזומן בלבד. לא יראו בכך הפרה של הוראות המיזוג ובלבד שהרוכש יכנס לנעלי המוכר לעניין המשך ההחזקה בתקופת המגבלות.</w:t>
      </w:r>
    </w:p>
    <w:p w:rsidR="00064426" w:rsidRDefault="008A22CD" w:rsidP="008A22CD">
      <w:pPr>
        <w:spacing w:line="360" w:lineRule="auto"/>
        <w:jc w:val="both"/>
        <w:rPr>
          <w:rFonts w:ascii="David" w:eastAsiaTheme="minorEastAsia" w:hAnsi="David" w:cs="David" w:hint="cs"/>
          <w:b/>
          <w:bCs/>
          <w:sz w:val="24"/>
          <w:szCs w:val="24"/>
          <w:u w:val="single"/>
          <w:rtl/>
        </w:rPr>
      </w:pPr>
      <w:r>
        <w:rPr>
          <w:rFonts w:ascii="David" w:eastAsiaTheme="minorEastAsia" w:hAnsi="David" w:cs="David" w:hint="cs"/>
          <w:b/>
          <w:bCs/>
          <w:sz w:val="24"/>
          <w:szCs w:val="24"/>
          <w:u w:val="single"/>
          <w:rtl/>
        </w:rPr>
        <w:t>סעיף 103ה+103ו</w:t>
      </w:r>
    </w:p>
    <w:p w:rsidR="008A22CD" w:rsidRDefault="008A22CD" w:rsidP="008A22CD">
      <w:pPr>
        <w:spacing w:line="360" w:lineRule="auto"/>
        <w:jc w:val="both"/>
        <w:rPr>
          <w:rFonts w:ascii="David" w:eastAsiaTheme="minorEastAsia" w:hAnsi="David" w:cs="David" w:hint="cs"/>
          <w:sz w:val="24"/>
          <w:szCs w:val="24"/>
          <w:rtl/>
        </w:rPr>
      </w:pPr>
      <w:r>
        <w:rPr>
          <w:rFonts w:ascii="David" w:eastAsiaTheme="minorEastAsia" w:hAnsi="David" w:cs="David" w:hint="cs"/>
          <w:sz w:val="24"/>
          <w:szCs w:val="24"/>
          <w:rtl/>
        </w:rPr>
        <w:t>הטיפול זהה ל-104ה ו-104ו כפי שלמדנו</w:t>
      </w:r>
    </w:p>
    <w:p w:rsidR="008A22CD" w:rsidRDefault="008A22CD" w:rsidP="008A22CD">
      <w:pPr>
        <w:spacing w:line="360" w:lineRule="auto"/>
        <w:jc w:val="both"/>
        <w:rPr>
          <w:rFonts w:ascii="David" w:eastAsiaTheme="minorEastAsia" w:hAnsi="David" w:cs="David" w:hint="cs"/>
          <w:b/>
          <w:bCs/>
          <w:sz w:val="24"/>
          <w:szCs w:val="24"/>
          <w:u w:val="single"/>
          <w:rtl/>
        </w:rPr>
      </w:pPr>
      <w:r>
        <w:rPr>
          <w:rFonts w:ascii="David" w:eastAsiaTheme="minorEastAsia" w:hAnsi="David" w:cs="David" w:hint="cs"/>
          <w:b/>
          <w:bCs/>
          <w:sz w:val="24"/>
          <w:szCs w:val="24"/>
          <w:u w:val="single"/>
          <w:rtl/>
        </w:rPr>
        <w:t>סעיף 103ד מיעוט מורד</w:t>
      </w:r>
    </w:p>
    <w:p w:rsidR="008A22CD" w:rsidRDefault="008A22CD" w:rsidP="008A22CD">
      <w:pPr>
        <w:spacing w:line="360" w:lineRule="auto"/>
        <w:jc w:val="both"/>
        <w:rPr>
          <w:rFonts w:ascii="David" w:eastAsiaTheme="minorEastAsia" w:hAnsi="David" w:cs="David" w:hint="cs"/>
          <w:sz w:val="24"/>
          <w:szCs w:val="24"/>
          <w:rtl/>
        </w:rPr>
      </w:pPr>
      <w:r>
        <w:rPr>
          <w:rFonts w:ascii="David" w:eastAsiaTheme="minorEastAsia" w:hAnsi="David" w:cs="David" w:hint="cs"/>
          <w:sz w:val="24"/>
          <w:szCs w:val="24"/>
          <w:rtl/>
        </w:rPr>
        <w:t>מיעוט שמתנגד למהלך המיזוג חוק החברות מקנה לביהמ"ש סמכות לקבוע בצו המיזוג הסדרים שעה שבעל המניות בקרב המיעוט מתנגד למיזוג. וזאת במטרה למנוע סיכול מיזוגים ע"י בעלי מניות המיעוט.</w:t>
      </w:r>
    </w:p>
    <w:p w:rsidR="008A22CD" w:rsidRDefault="008A22CD" w:rsidP="008A22CD">
      <w:pPr>
        <w:spacing w:line="360" w:lineRule="auto"/>
        <w:jc w:val="both"/>
        <w:rPr>
          <w:rFonts w:ascii="David" w:eastAsiaTheme="minorEastAsia" w:hAnsi="David" w:cs="David"/>
          <w:sz w:val="24"/>
          <w:szCs w:val="24"/>
          <w:rtl/>
        </w:rPr>
      </w:pPr>
      <w:r>
        <w:rPr>
          <w:rFonts w:ascii="David" w:eastAsiaTheme="minorEastAsia" w:hAnsi="David" w:cs="David" w:hint="cs"/>
          <w:sz w:val="24"/>
          <w:szCs w:val="24"/>
          <w:rtl/>
        </w:rPr>
        <w:t xml:space="preserve">לפיכך נקבע כי תשלום במזומן </w:t>
      </w:r>
      <w:proofErr w:type="spellStart"/>
      <w:r>
        <w:rPr>
          <w:rFonts w:ascii="David" w:eastAsiaTheme="minorEastAsia" w:hAnsi="David" w:cs="David" w:hint="cs"/>
          <w:sz w:val="24"/>
          <w:szCs w:val="24"/>
          <w:rtl/>
        </w:rPr>
        <w:t>לבע"מ</w:t>
      </w:r>
      <w:proofErr w:type="spellEnd"/>
      <w:r>
        <w:rPr>
          <w:rFonts w:ascii="David" w:eastAsiaTheme="minorEastAsia" w:hAnsi="David" w:cs="David" w:hint="cs"/>
          <w:sz w:val="24"/>
          <w:szCs w:val="24"/>
          <w:rtl/>
        </w:rPr>
        <w:t xml:space="preserve"> המיעוט לא ישלול את ההטבות בהתקיים התנאים הבאים:</w:t>
      </w:r>
    </w:p>
    <w:p w:rsidR="008A22CD" w:rsidRDefault="008A22CD" w:rsidP="008A22CD">
      <w:pPr>
        <w:pStyle w:val="a7"/>
        <w:numPr>
          <w:ilvl w:val="0"/>
          <w:numId w:val="37"/>
        </w:numPr>
        <w:spacing w:line="360" w:lineRule="auto"/>
        <w:jc w:val="both"/>
        <w:rPr>
          <w:rFonts w:ascii="David" w:eastAsiaTheme="minorEastAsia" w:hAnsi="David" w:cs="David" w:hint="cs"/>
          <w:sz w:val="24"/>
          <w:szCs w:val="24"/>
        </w:rPr>
      </w:pPr>
      <w:r>
        <w:rPr>
          <w:rFonts w:ascii="David" w:eastAsiaTheme="minorEastAsia" w:hAnsi="David" w:cs="David" w:hint="cs"/>
          <w:sz w:val="24"/>
          <w:szCs w:val="24"/>
          <w:rtl/>
        </w:rPr>
        <w:t xml:space="preserve">המיעוט מתנגד לצו המיזוג בביהמ"ש </w:t>
      </w:r>
    </w:p>
    <w:p w:rsidR="008A22CD" w:rsidRDefault="008A22CD" w:rsidP="008A22CD">
      <w:pPr>
        <w:pStyle w:val="a7"/>
        <w:numPr>
          <w:ilvl w:val="0"/>
          <w:numId w:val="37"/>
        </w:numPr>
        <w:spacing w:line="360" w:lineRule="auto"/>
        <w:jc w:val="both"/>
        <w:rPr>
          <w:rFonts w:ascii="David" w:eastAsiaTheme="minorEastAsia" w:hAnsi="David" w:cs="David"/>
          <w:sz w:val="24"/>
          <w:szCs w:val="24"/>
        </w:rPr>
      </w:pPr>
      <w:r>
        <w:rPr>
          <w:rFonts w:ascii="David" w:eastAsiaTheme="minorEastAsia" w:hAnsi="David" w:cs="David" w:hint="cs"/>
          <w:sz w:val="24"/>
          <w:szCs w:val="24"/>
          <w:rtl/>
        </w:rPr>
        <w:t>המיזוג נעשה עפ"י צו המיזוג (במיזוג עפ"י פרק שמיני לא חלה ההקלה האמורה אלא רק במיזוג עפ"י צו )</w:t>
      </w:r>
    </w:p>
    <w:p w:rsidR="008A22CD" w:rsidRDefault="008A22CD" w:rsidP="008A22CD">
      <w:pPr>
        <w:pStyle w:val="a7"/>
        <w:numPr>
          <w:ilvl w:val="0"/>
          <w:numId w:val="37"/>
        </w:numPr>
        <w:spacing w:line="360" w:lineRule="auto"/>
        <w:jc w:val="both"/>
        <w:rPr>
          <w:rFonts w:ascii="David" w:eastAsiaTheme="minorEastAsia" w:hAnsi="David" w:cs="David"/>
          <w:sz w:val="24"/>
          <w:szCs w:val="24"/>
        </w:rPr>
      </w:pPr>
      <w:r>
        <w:rPr>
          <w:rFonts w:ascii="David" w:eastAsiaTheme="minorEastAsia" w:hAnsi="David" w:cs="David" w:hint="cs"/>
          <w:sz w:val="24"/>
          <w:szCs w:val="24"/>
          <w:rtl/>
        </w:rPr>
        <w:t>המיעוט מכר את כל זכויותיו בחברה המעבירה ולא קיבל כל זכות בחברה הקולטת (היפרדות מוחלטת)</w:t>
      </w:r>
    </w:p>
    <w:p w:rsidR="008A22CD" w:rsidRDefault="008A22CD" w:rsidP="008A22CD">
      <w:pPr>
        <w:pStyle w:val="a7"/>
        <w:numPr>
          <w:ilvl w:val="0"/>
          <w:numId w:val="37"/>
        </w:numPr>
        <w:spacing w:line="360" w:lineRule="auto"/>
        <w:jc w:val="both"/>
        <w:rPr>
          <w:rFonts w:ascii="David" w:eastAsiaTheme="minorEastAsia" w:hAnsi="David" w:cs="David" w:hint="cs"/>
          <w:sz w:val="24"/>
          <w:szCs w:val="24"/>
        </w:rPr>
      </w:pPr>
      <w:r>
        <w:rPr>
          <w:rFonts w:ascii="David" w:eastAsiaTheme="minorEastAsia" w:hAnsi="David" w:cs="David" w:hint="cs"/>
          <w:sz w:val="24"/>
          <w:szCs w:val="24"/>
          <w:rtl/>
        </w:rPr>
        <w:t xml:space="preserve">המיעוט יחויב במס </w:t>
      </w:r>
      <w:proofErr w:type="spellStart"/>
      <w:r>
        <w:rPr>
          <w:rFonts w:ascii="David" w:eastAsiaTheme="minorEastAsia" w:hAnsi="David" w:cs="David" w:hint="cs"/>
          <w:sz w:val="24"/>
          <w:szCs w:val="24"/>
          <w:rtl/>
        </w:rPr>
        <w:t>רוו"ה</w:t>
      </w:r>
      <w:proofErr w:type="spellEnd"/>
      <w:r>
        <w:rPr>
          <w:rFonts w:ascii="David" w:eastAsiaTheme="minorEastAsia" w:hAnsi="David" w:cs="David" w:hint="cs"/>
          <w:sz w:val="24"/>
          <w:szCs w:val="24"/>
          <w:rtl/>
        </w:rPr>
        <w:t xml:space="preserve"> ובמס שבח כלומר, לגביו הטבות הסעיף לא יחולו</w:t>
      </w:r>
    </w:p>
    <w:p w:rsidR="008A22CD" w:rsidRDefault="008A22CD" w:rsidP="008A22CD">
      <w:pPr>
        <w:spacing w:line="360" w:lineRule="auto"/>
        <w:jc w:val="both"/>
        <w:rPr>
          <w:rFonts w:ascii="David" w:eastAsiaTheme="minorEastAsia" w:hAnsi="David" w:cs="David" w:hint="cs"/>
          <w:sz w:val="24"/>
          <w:szCs w:val="24"/>
          <w:rtl/>
        </w:rPr>
      </w:pPr>
      <w:r>
        <w:rPr>
          <w:rFonts w:ascii="David" w:eastAsiaTheme="minorEastAsia" w:hAnsi="David" w:cs="David" w:hint="cs"/>
          <w:b/>
          <w:bCs/>
          <w:sz w:val="24"/>
          <w:szCs w:val="24"/>
          <w:rtl/>
        </w:rPr>
        <w:t xml:space="preserve">"בעל מניות מיעוט" </w:t>
      </w:r>
      <w:r>
        <w:rPr>
          <w:rFonts w:ascii="David" w:eastAsiaTheme="minorEastAsia" w:hAnsi="David" w:cs="David"/>
          <w:b/>
          <w:bCs/>
          <w:sz w:val="24"/>
          <w:szCs w:val="24"/>
          <w:rtl/>
        </w:rPr>
        <w:t>–</w:t>
      </w:r>
      <w:r>
        <w:rPr>
          <w:rFonts w:ascii="David" w:eastAsiaTheme="minorEastAsia" w:hAnsi="David" w:cs="David" w:hint="cs"/>
          <w:b/>
          <w:bCs/>
          <w:sz w:val="24"/>
          <w:szCs w:val="24"/>
          <w:rtl/>
        </w:rPr>
        <w:t xml:space="preserve"> </w:t>
      </w:r>
      <w:r>
        <w:rPr>
          <w:rFonts w:ascii="David" w:eastAsiaTheme="minorEastAsia" w:hAnsi="David" w:cs="David" w:hint="cs"/>
          <w:sz w:val="24"/>
          <w:szCs w:val="24"/>
          <w:rtl/>
        </w:rPr>
        <w:t xml:space="preserve">מחזיר פחות מ-25% מזכות כלשהי בחברה </w:t>
      </w:r>
    </w:p>
    <w:p w:rsidR="008A22CD" w:rsidRDefault="008A22CD" w:rsidP="008A22CD">
      <w:pPr>
        <w:spacing w:line="360" w:lineRule="auto"/>
        <w:jc w:val="both"/>
        <w:rPr>
          <w:rFonts w:ascii="David" w:eastAsiaTheme="minorEastAsia" w:hAnsi="David" w:cs="David"/>
          <w:b/>
          <w:bCs/>
          <w:sz w:val="24"/>
          <w:szCs w:val="24"/>
          <w:u w:val="single"/>
          <w:rtl/>
        </w:rPr>
      </w:pPr>
    </w:p>
    <w:p w:rsidR="008A22CD" w:rsidRDefault="008A22CD" w:rsidP="008A22CD">
      <w:pPr>
        <w:spacing w:line="360" w:lineRule="auto"/>
        <w:jc w:val="both"/>
        <w:rPr>
          <w:rFonts w:ascii="David" w:eastAsiaTheme="minorEastAsia" w:hAnsi="David" w:cs="David"/>
          <w:b/>
          <w:bCs/>
          <w:sz w:val="24"/>
          <w:szCs w:val="24"/>
          <w:u w:val="single"/>
          <w:rtl/>
        </w:rPr>
      </w:pPr>
      <w:r>
        <w:rPr>
          <w:rFonts w:ascii="David" w:eastAsiaTheme="minorEastAsia" w:hAnsi="David" w:cs="David" w:hint="cs"/>
          <w:b/>
          <w:bCs/>
          <w:sz w:val="24"/>
          <w:szCs w:val="24"/>
          <w:u w:val="single"/>
          <w:rtl/>
        </w:rPr>
        <w:lastRenderedPageBreak/>
        <w:t>סעיף 103ט פרה רולינג (אישור מראש)</w:t>
      </w:r>
    </w:p>
    <w:p w:rsidR="00FF2A37" w:rsidRDefault="00FF2A37" w:rsidP="00FF2A37">
      <w:pPr>
        <w:spacing w:line="360" w:lineRule="auto"/>
        <w:jc w:val="both"/>
        <w:rPr>
          <w:rFonts w:ascii="David" w:eastAsiaTheme="minorEastAsia" w:hAnsi="David" w:cs="David"/>
          <w:sz w:val="24"/>
          <w:szCs w:val="24"/>
          <w:rtl/>
        </w:rPr>
      </w:pPr>
      <w:r>
        <w:rPr>
          <w:rFonts w:ascii="David" w:eastAsiaTheme="minorEastAsia" w:hAnsi="David" w:cs="David" w:hint="cs"/>
          <w:sz w:val="24"/>
          <w:szCs w:val="24"/>
          <w:rtl/>
        </w:rPr>
        <w:t>פרה רולינג חל על סעיפים:</w:t>
      </w:r>
    </w:p>
    <w:p w:rsidR="00FF2A37" w:rsidRDefault="00FF2A37" w:rsidP="00FF2A37">
      <w:pPr>
        <w:spacing w:line="360" w:lineRule="auto"/>
        <w:jc w:val="both"/>
        <w:rPr>
          <w:rFonts w:ascii="David" w:eastAsiaTheme="minorEastAsia" w:hAnsi="David" w:cs="David" w:hint="cs"/>
          <w:sz w:val="24"/>
          <w:szCs w:val="24"/>
          <w:rtl/>
        </w:rPr>
      </w:pPr>
      <w:r>
        <w:rPr>
          <w:rFonts w:ascii="David" w:eastAsiaTheme="minorEastAsia" w:hAnsi="David" w:cs="David" w:hint="cs"/>
          <w:sz w:val="24"/>
          <w:szCs w:val="24"/>
          <w:rtl/>
        </w:rPr>
        <w:t>104ב(ו)- חברות אחיות</w:t>
      </w:r>
    </w:p>
    <w:p w:rsidR="00FF2A37" w:rsidRDefault="00FF2A37" w:rsidP="00FF2A37">
      <w:pPr>
        <w:spacing w:line="360" w:lineRule="auto"/>
        <w:jc w:val="both"/>
        <w:rPr>
          <w:rFonts w:ascii="David" w:eastAsiaTheme="minorEastAsia" w:hAnsi="David" w:cs="David" w:hint="cs"/>
          <w:sz w:val="24"/>
          <w:szCs w:val="24"/>
          <w:rtl/>
        </w:rPr>
      </w:pPr>
      <w:r>
        <w:rPr>
          <w:rFonts w:ascii="David" w:eastAsiaTheme="minorEastAsia" w:hAnsi="David" w:cs="David" w:hint="cs"/>
          <w:sz w:val="24"/>
          <w:szCs w:val="24"/>
          <w:rtl/>
        </w:rPr>
        <w:t xml:space="preserve">104ג </w:t>
      </w:r>
      <w:r>
        <w:rPr>
          <w:rFonts w:ascii="David" w:eastAsiaTheme="minorEastAsia" w:hAnsi="David" w:cs="David"/>
          <w:sz w:val="24"/>
          <w:szCs w:val="24"/>
          <w:rtl/>
        </w:rPr>
        <w:t>–</w:t>
      </w:r>
      <w:r>
        <w:rPr>
          <w:rFonts w:ascii="David" w:eastAsiaTheme="minorEastAsia" w:hAnsi="David" w:cs="David" w:hint="cs"/>
          <w:sz w:val="24"/>
          <w:szCs w:val="24"/>
          <w:rtl/>
        </w:rPr>
        <w:t xml:space="preserve"> הנפה </w:t>
      </w:r>
    </w:p>
    <w:p w:rsidR="00FF2A37" w:rsidRDefault="00FF2A37" w:rsidP="00FF2A37">
      <w:pPr>
        <w:spacing w:line="360" w:lineRule="auto"/>
        <w:jc w:val="both"/>
        <w:rPr>
          <w:rFonts w:ascii="David" w:eastAsiaTheme="minorEastAsia" w:hAnsi="David" w:cs="David" w:hint="cs"/>
          <w:sz w:val="24"/>
          <w:szCs w:val="24"/>
          <w:rtl/>
        </w:rPr>
      </w:pPr>
      <w:r>
        <w:rPr>
          <w:rFonts w:ascii="David" w:eastAsiaTheme="minorEastAsia" w:hAnsi="David" w:cs="David" w:hint="cs"/>
          <w:sz w:val="24"/>
          <w:szCs w:val="24"/>
          <w:rtl/>
        </w:rPr>
        <w:t>חברה זרה</w:t>
      </w:r>
    </w:p>
    <w:p w:rsidR="00FF2A37" w:rsidRDefault="00FF2A37" w:rsidP="00FF2A37">
      <w:pPr>
        <w:spacing w:line="360" w:lineRule="auto"/>
        <w:jc w:val="both"/>
        <w:rPr>
          <w:rFonts w:ascii="David" w:eastAsiaTheme="minorEastAsia" w:hAnsi="David" w:cs="David"/>
          <w:sz w:val="24"/>
          <w:szCs w:val="24"/>
          <w:rtl/>
        </w:rPr>
      </w:pPr>
      <w:r>
        <w:rPr>
          <w:rFonts w:ascii="David" w:eastAsiaTheme="minorEastAsia" w:hAnsi="David" w:cs="David" w:hint="cs"/>
          <w:sz w:val="24"/>
          <w:szCs w:val="24"/>
          <w:rtl/>
        </w:rPr>
        <w:t>103- כאשר מבקשת ליישם את התקנות המקלות (1:9 ללא הגבלה)</w:t>
      </w:r>
    </w:p>
    <w:p w:rsidR="00FF2A37" w:rsidRDefault="00FF2A37" w:rsidP="00FF2A37">
      <w:pPr>
        <w:spacing w:line="360" w:lineRule="auto"/>
        <w:jc w:val="both"/>
        <w:rPr>
          <w:rFonts w:ascii="David" w:eastAsiaTheme="minorEastAsia" w:hAnsi="David" w:cs="David" w:hint="cs"/>
          <w:sz w:val="24"/>
          <w:szCs w:val="24"/>
          <w:rtl/>
        </w:rPr>
      </w:pPr>
      <w:r>
        <w:rPr>
          <w:rFonts w:ascii="David" w:eastAsiaTheme="minorEastAsia" w:hAnsi="David" w:cs="David" w:hint="cs"/>
          <w:sz w:val="24"/>
          <w:szCs w:val="24"/>
          <w:rtl/>
        </w:rPr>
        <w:t>103יג- איגוד מקרקעין</w:t>
      </w:r>
    </w:p>
    <w:p w:rsidR="00FF2A37" w:rsidRDefault="00FF2A37" w:rsidP="00FF2A37">
      <w:pPr>
        <w:spacing w:line="360" w:lineRule="auto"/>
        <w:jc w:val="both"/>
        <w:rPr>
          <w:rFonts w:ascii="David" w:eastAsiaTheme="minorEastAsia" w:hAnsi="David" w:cs="David" w:hint="cs"/>
          <w:sz w:val="24"/>
          <w:szCs w:val="24"/>
          <w:rtl/>
        </w:rPr>
      </w:pPr>
      <w:r>
        <w:rPr>
          <w:rFonts w:ascii="David" w:eastAsiaTheme="minorEastAsia" w:hAnsi="David" w:cs="David" w:hint="cs"/>
          <w:sz w:val="24"/>
          <w:szCs w:val="24"/>
          <w:rtl/>
        </w:rPr>
        <w:t xml:space="preserve">103כ </w:t>
      </w:r>
      <w:r>
        <w:rPr>
          <w:rFonts w:ascii="David" w:eastAsiaTheme="minorEastAsia" w:hAnsi="David" w:cs="David"/>
          <w:sz w:val="24"/>
          <w:szCs w:val="24"/>
          <w:rtl/>
        </w:rPr>
        <w:t>–</w:t>
      </w:r>
      <w:r>
        <w:rPr>
          <w:rFonts w:ascii="David" w:eastAsiaTheme="minorEastAsia" w:hAnsi="David" w:cs="David" w:hint="cs"/>
          <w:sz w:val="24"/>
          <w:szCs w:val="24"/>
          <w:rtl/>
        </w:rPr>
        <w:t xml:space="preserve"> מיזוג על הדרך של החלפת מניות</w:t>
      </w:r>
    </w:p>
    <w:p w:rsidR="00FF2A37" w:rsidRDefault="00FF2A37" w:rsidP="00FF2A37">
      <w:pPr>
        <w:spacing w:line="360" w:lineRule="auto"/>
        <w:jc w:val="both"/>
        <w:rPr>
          <w:rFonts w:ascii="David" w:eastAsiaTheme="minorEastAsia" w:hAnsi="David" w:cs="David" w:hint="cs"/>
          <w:sz w:val="24"/>
          <w:szCs w:val="24"/>
          <w:rtl/>
        </w:rPr>
      </w:pPr>
      <w:r>
        <w:rPr>
          <w:rFonts w:ascii="David" w:eastAsiaTheme="minorEastAsia" w:hAnsi="David" w:cs="David" w:hint="cs"/>
          <w:sz w:val="24"/>
          <w:szCs w:val="24"/>
          <w:rtl/>
        </w:rPr>
        <w:t>כל הסעיפים הללו חייבים את אישור המנהל .</w:t>
      </w:r>
    </w:p>
    <w:p w:rsidR="00FF2A37" w:rsidRDefault="00FF2A37" w:rsidP="00FF2A37">
      <w:pPr>
        <w:spacing w:line="360" w:lineRule="auto"/>
        <w:jc w:val="both"/>
        <w:rPr>
          <w:rFonts w:ascii="David" w:eastAsiaTheme="minorEastAsia" w:hAnsi="David" w:cs="David" w:hint="cs"/>
          <w:sz w:val="24"/>
          <w:szCs w:val="24"/>
          <w:rtl/>
        </w:rPr>
      </w:pPr>
      <w:r>
        <w:rPr>
          <w:rFonts w:ascii="David" w:eastAsiaTheme="minorEastAsia" w:hAnsi="David" w:cs="David" w:hint="cs"/>
          <w:sz w:val="24"/>
          <w:szCs w:val="24"/>
          <w:rtl/>
        </w:rPr>
        <w:t xml:space="preserve">הסעיף קובע כי מיזוג בעיקרון אינו חייב בקבלת אישור המנהל למעט המיזוגים בסעיפים 103כ ו-103יג כמו"כ אם החברה ביקשה ליהנות מההקלות בתקנות כפי שלמדנו היא נדרשת גם כן לפנות למנהל ולקבל את אישורו לכך וכן כשמדובר במיזוג שהחברה הקולטת היא חברה זרה. יחד עם זאת תמיד קיימת אפשרות לפנות למנהל ולקבל את אישורו אך זה לא חובה . בנוסף, יש אגרת טיפול. קיימת חובה לפנות למנהל גם בהעברת נכסים לפי 104ב(ו) </w:t>
      </w:r>
      <w:proofErr w:type="spellStart"/>
      <w:r>
        <w:rPr>
          <w:rFonts w:ascii="David" w:eastAsiaTheme="minorEastAsia" w:hAnsi="David" w:cs="David" w:hint="cs"/>
          <w:sz w:val="24"/>
          <w:szCs w:val="24"/>
          <w:rtl/>
        </w:rPr>
        <w:t>וכם</w:t>
      </w:r>
      <w:proofErr w:type="spellEnd"/>
      <w:r>
        <w:rPr>
          <w:rFonts w:ascii="David" w:eastAsiaTheme="minorEastAsia" w:hAnsi="David" w:cs="David" w:hint="cs"/>
          <w:sz w:val="24"/>
          <w:szCs w:val="24"/>
          <w:rtl/>
        </w:rPr>
        <w:t xml:space="preserve"> ב-104ג</w:t>
      </w:r>
    </w:p>
    <w:p w:rsidR="00FF2A37" w:rsidRDefault="00FF2A37" w:rsidP="00FF2A37">
      <w:pPr>
        <w:spacing w:line="360" w:lineRule="auto"/>
        <w:jc w:val="both"/>
        <w:rPr>
          <w:rFonts w:ascii="David" w:eastAsiaTheme="minorEastAsia" w:hAnsi="David" w:cs="David" w:hint="cs"/>
          <w:b/>
          <w:bCs/>
          <w:sz w:val="24"/>
          <w:szCs w:val="24"/>
          <w:u w:val="single"/>
          <w:rtl/>
        </w:rPr>
      </w:pPr>
      <w:r>
        <w:rPr>
          <w:rFonts w:ascii="David" w:eastAsiaTheme="minorEastAsia" w:hAnsi="David" w:cs="David" w:hint="cs"/>
          <w:b/>
          <w:bCs/>
          <w:sz w:val="24"/>
          <w:szCs w:val="24"/>
          <w:u w:val="single"/>
          <w:rtl/>
        </w:rPr>
        <w:t xml:space="preserve">סעיף 103יג </w:t>
      </w:r>
      <w:r>
        <w:rPr>
          <w:rFonts w:ascii="David" w:eastAsiaTheme="minorEastAsia" w:hAnsi="David" w:cs="David"/>
          <w:b/>
          <w:bCs/>
          <w:sz w:val="24"/>
          <w:szCs w:val="24"/>
          <w:u w:val="single"/>
          <w:rtl/>
        </w:rPr>
        <w:t>–</w:t>
      </w:r>
      <w:r>
        <w:rPr>
          <w:rFonts w:ascii="David" w:eastAsiaTheme="minorEastAsia" w:hAnsi="David" w:cs="David" w:hint="cs"/>
          <w:b/>
          <w:bCs/>
          <w:sz w:val="24"/>
          <w:szCs w:val="24"/>
          <w:u w:val="single"/>
          <w:rtl/>
        </w:rPr>
        <w:t xml:space="preserve"> מיזוג איגודי מקרקעין </w:t>
      </w:r>
    </w:p>
    <w:p w:rsidR="00FF2A37" w:rsidRDefault="00FF2A37" w:rsidP="00FF2A37">
      <w:pPr>
        <w:spacing w:line="360" w:lineRule="auto"/>
        <w:jc w:val="both"/>
        <w:rPr>
          <w:rFonts w:ascii="David" w:eastAsiaTheme="minorEastAsia" w:hAnsi="David" w:cs="David"/>
          <w:sz w:val="24"/>
          <w:szCs w:val="24"/>
          <w:rtl/>
        </w:rPr>
      </w:pPr>
      <w:r>
        <w:rPr>
          <w:rFonts w:ascii="David" w:eastAsiaTheme="minorEastAsia" w:hAnsi="David" w:cs="David" w:hint="cs"/>
          <w:sz w:val="24"/>
          <w:szCs w:val="24"/>
          <w:rtl/>
        </w:rPr>
        <w:t xml:space="preserve">מיזוג שאיגודי מקרקעין צד לו אינו זוכה להטבות באופן </w:t>
      </w:r>
      <w:proofErr w:type="spellStart"/>
      <w:r>
        <w:rPr>
          <w:rFonts w:ascii="David" w:eastAsiaTheme="minorEastAsia" w:hAnsi="David" w:cs="David" w:hint="cs"/>
          <w:sz w:val="24"/>
          <w:szCs w:val="24"/>
          <w:rtl/>
        </w:rPr>
        <w:t>אוטמטי</w:t>
      </w:r>
      <w:proofErr w:type="spellEnd"/>
      <w:r>
        <w:rPr>
          <w:rFonts w:ascii="David" w:eastAsiaTheme="minorEastAsia" w:hAnsi="David" w:cs="David" w:hint="cs"/>
          <w:sz w:val="24"/>
          <w:szCs w:val="24"/>
          <w:rtl/>
        </w:rPr>
        <w:t xml:space="preserve"> על מנת לבצע מיזוג בין חברות שכולן או חלקן איגודי מקרקעין נדרש אישור המנהל.</w:t>
      </w:r>
    </w:p>
    <w:p w:rsidR="00FF2A37" w:rsidRDefault="00FF2A37" w:rsidP="00FF2A37">
      <w:pPr>
        <w:spacing w:line="360" w:lineRule="auto"/>
        <w:jc w:val="both"/>
        <w:rPr>
          <w:rFonts w:ascii="David" w:eastAsiaTheme="minorEastAsia" w:hAnsi="David" w:cs="David" w:hint="cs"/>
          <w:b/>
          <w:bCs/>
          <w:sz w:val="24"/>
          <w:szCs w:val="24"/>
          <w:u w:val="single"/>
          <w:rtl/>
        </w:rPr>
      </w:pPr>
      <w:r>
        <w:rPr>
          <w:rFonts w:ascii="David" w:eastAsiaTheme="minorEastAsia" w:hAnsi="David" w:cs="David" w:hint="cs"/>
          <w:b/>
          <w:bCs/>
          <w:sz w:val="24"/>
          <w:szCs w:val="24"/>
          <w:u w:val="single"/>
          <w:rtl/>
        </w:rPr>
        <w:t>סעיף 103י- מתן הטבות ושלילתן</w:t>
      </w:r>
    </w:p>
    <w:p w:rsidR="00FF2A37" w:rsidRDefault="00FF2A37" w:rsidP="00FF2A37">
      <w:pPr>
        <w:spacing w:line="360" w:lineRule="auto"/>
        <w:jc w:val="both"/>
        <w:rPr>
          <w:rFonts w:ascii="David" w:eastAsiaTheme="minorEastAsia" w:hAnsi="David" w:cs="David" w:hint="cs"/>
          <w:sz w:val="24"/>
          <w:szCs w:val="24"/>
          <w:rtl/>
        </w:rPr>
      </w:pPr>
      <w:r>
        <w:rPr>
          <w:rFonts w:ascii="David" w:eastAsiaTheme="minorEastAsia" w:hAnsi="David" w:cs="David" w:hint="cs"/>
          <w:sz w:val="24"/>
          <w:szCs w:val="24"/>
          <w:rtl/>
        </w:rPr>
        <w:t xml:space="preserve">במידה ויתברר כי לא התקיים אחד מן התנאים בסעיף 103ג יודיע </w:t>
      </w:r>
      <w:proofErr w:type="spellStart"/>
      <w:r>
        <w:rPr>
          <w:rFonts w:ascii="David" w:eastAsiaTheme="minorEastAsia" w:hAnsi="David" w:cs="David" w:hint="cs"/>
          <w:sz w:val="24"/>
          <w:szCs w:val="24"/>
          <w:rtl/>
        </w:rPr>
        <w:t>פ"ש</w:t>
      </w:r>
      <w:proofErr w:type="spellEnd"/>
      <w:r>
        <w:rPr>
          <w:rFonts w:ascii="David" w:eastAsiaTheme="minorEastAsia" w:hAnsi="David" w:cs="David" w:hint="cs"/>
          <w:sz w:val="24"/>
          <w:szCs w:val="24"/>
          <w:rtl/>
        </w:rPr>
        <w:t xml:space="preserve"> לצדדים למיזוג ויבוטלו ההטבות למפרע החל מהמועד שניתנו. הצדדים למיזוג ובע"מ בהם יחויבו במיסים מהם ניתן להם פטור בתוספת הפרשי הצמדה ממועד המיזוג. הצדדים למיזוג ובעלי המניות </w:t>
      </w:r>
      <w:proofErr w:type="spellStart"/>
      <w:r>
        <w:rPr>
          <w:rFonts w:ascii="David" w:eastAsiaTheme="minorEastAsia" w:hAnsi="David" w:cs="David" w:hint="cs"/>
          <w:sz w:val="24"/>
          <w:szCs w:val="24"/>
          <w:rtl/>
        </w:rPr>
        <w:t>יחוייבו</w:t>
      </w:r>
      <w:proofErr w:type="spellEnd"/>
      <w:r>
        <w:rPr>
          <w:rFonts w:ascii="David" w:eastAsiaTheme="minorEastAsia" w:hAnsi="David" w:cs="David" w:hint="cs"/>
          <w:sz w:val="24"/>
          <w:szCs w:val="24"/>
          <w:rtl/>
        </w:rPr>
        <w:t xml:space="preserve"> למעשה </w:t>
      </w:r>
      <w:proofErr w:type="spellStart"/>
      <w:r>
        <w:rPr>
          <w:rFonts w:ascii="David" w:eastAsiaTheme="minorEastAsia" w:hAnsi="David" w:cs="David" w:hint="cs"/>
          <w:sz w:val="24"/>
          <w:szCs w:val="24"/>
          <w:rtl/>
        </w:rPr>
        <w:t>במ"ה</w:t>
      </w:r>
      <w:proofErr w:type="spellEnd"/>
      <w:r>
        <w:rPr>
          <w:rFonts w:ascii="David" w:eastAsiaTheme="minorEastAsia" w:hAnsi="David" w:cs="David" w:hint="cs"/>
          <w:sz w:val="24"/>
          <w:szCs w:val="24"/>
          <w:rtl/>
        </w:rPr>
        <w:t xml:space="preserve">, מס </w:t>
      </w:r>
      <w:proofErr w:type="spellStart"/>
      <w:r>
        <w:rPr>
          <w:rFonts w:ascii="David" w:eastAsiaTheme="minorEastAsia" w:hAnsi="David" w:cs="David" w:hint="cs"/>
          <w:sz w:val="24"/>
          <w:szCs w:val="24"/>
          <w:rtl/>
        </w:rPr>
        <w:t>רוו"ה</w:t>
      </w:r>
      <w:proofErr w:type="spellEnd"/>
      <w:r>
        <w:rPr>
          <w:rFonts w:ascii="David" w:eastAsiaTheme="minorEastAsia" w:hAnsi="David" w:cs="David" w:hint="cs"/>
          <w:sz w:val="24"/>
          <w:szCs w:val="24"/>
          <w:rtl/>
        </w:rPr>
        <w:t xml:space="preserve">, מס שבח, מס רכישה מלא. כאשר כל צד למיזוג </w:t>
      </w:r>
      <w:proofErr w:type="spellStart"/>
      <w:r>
        <w:rPr>
          <w:rFonts w:ascii="David" w:eastAsiaTheme="minorEastAsia" w:hAnsi="David" w:cs="David" w:hint="cs"/>
          <w:sz w:val="24"/>
          <w:szCs w:val="24"/>
          <w:rtl/>
        </w:rPr>
        <w:t>ישא</w:t>
      </w:r>
      <w:proofErr w:type="spellEnd"/>
      <w:r>
        <w:rPr>
          <w:rFonts w:ascii="David" w:eastAsiaTheme="minorEastAsia" w:hAnsi="David" w:cs="David" w:hint="cs"/>
          <w:sz w:val="24"/>
          <w:szCs w:val="24"/>
          <w:rtl/>
        </w:rPr>
        <w:t xml:space="preserve"> באופן ספציפי במיסים מהם היה פטור וכן יוחזר הגלגל אחורנית לעניין המחיר המקורי ומועד הרכישה.</w:t>
      </w:r>
    </w:p>
    <w:p w:rsidR="00FF2A37" w:rsidRDefault="00FF2A37" w:rsidP="00FF2A37">
      <w:pPr>
        <w:spacing w:line="360" w:lineRule="auto"/>
        <w:jc w:val="both"/>
        <w:rPr>
          <w:rFonts w:ascii="David" w:eastAsiaTheme="minorEastAsia" w:hAnsi="David" w:cs="David" w:hint="cs"/>
          <w:b/>
          <w:bCs/>
          <w:sz w:val="24"/>
          <w:szCs w:val="24"/>
          <w:u w:val="single"/>
          <w:rtl/>
        </w:rPr>
      </w:pPr>
      <w:r>
        <w:rPr>
          <w:rFonts w:ascii="David" w:eastAsiaTheme="minorEastAsia" w:hAnsi="David" w:cs="David" w:hint="cs"/>
          <w:b/>
          <w:bCs/>
          <w:sz w:val="24"/>
          <w:szCs w:val="24"/>
          <w:u w:val="single"/>
          <w:rtl/>
        </w:rPr>
        <w:t xml:space="preserve">סעיף 103ח </w:t>
      </w:r>
      <w:r w:rsidR="00D62713">
        <w:rPr>
          <w:rFonts w:ascii="David" w:eastAsiaTheme="minorEastAsia" w:hAnsi="David" w:cs="David"/>
          <w:b/>
          <w:bCs/>
          <w:sz w:val="24"/>
          <w:szCs w:val="24"/>
          <w:u w:val="single"/>
          <w:rtl/>
        </w:rPr>
        <w:t>–</w:t>
      </w:r>
      <w:r>
        <w:rPr>
          <w:rFonts w:ascii="David" w:eastAsiaTheme="minorEastAsia" w:hAnsi="David" w:cs="David" w:hint="cs"/>
          <w:b/>
          <w:bCs/>
          <w:sz w:val="24"/>
          <w:szCs w:val="24"/>
          <w:u w:val="single"/>
          <w:rtl/>
        </w:rPr>
        <w:t xml:space="preserve"> </w:t>
      </w:r>
      <w:r w:rsidR="00D62713">
        <w:rPr>
          <w:rFonts w:ascii="David" w:eastAsiaTheme="minorEastAsia" w:hAnsi="David" w:cs="David" w:hint="cs"/>
          <w:b/>
          <w:bCs/>
          <w:sz w:val="24"/>
          <w:szCs w:val="24"/>
          <w:u w:val="single"/>
          <w:rtl/>
        </w:rPr>
        <w:t xml:space="preserve">קיזוז הפסדים </w:t>
      </w:r>
    </w:p>
    <w:p w:rsidR="00D62713" w:rsidRDefault="00D62713" w:rsidP="00FF2A37">
      <w:pPr>
        <w:spacing w:line="360" w:lineRule="auto"/>
        <w:jc w:val="both"/>
        <w:rPr>
          <w:rFonts w:ascii="David" w:eastAsiaTheme="minorEastAsia" w:hAnsi="David" w:cs="David"/>
          <w:sz w:val="24"/>
          <w:szCs w:val="24"/>
          <w:rtl/>
        </w:rPr>
      </w:pPr>
      <w:r>
        <w:rPr>
          <w:rFonts w:ascii="David" w:eastAsiaTheme="minorEastAsia" w:hAnsi="David" w:cs="David" w:hint="cs"/>
          <w:sz w:val="24"/>
          <w:szCs w:val="24"/>
          <w:rtl/>
        </w:rPr>
        <w:t>מטרת הסעיף להגביל את העברת ההפסדים מלפני תקופת המיזוג:</w:t>
      </w:r>
    </w:p>
    <w:p w:rsidR="00D62713" w:rsidRDefault="00D62713" w:rsidP="00D62713">
      <w:pPr>
        <w:pStyle w:val="a7"/>
        <w:numPr>
          <w:ilvl w:val="0"/>
          <w:numId w:val="38"/>
        </w:numPr>
        <w:spacing w:line="360" w:lineRule="auto"/>
        <w:jc w:val="both"/>
        <w:rPr>
          <w:rFonts w:ascii="David" w:eastAsiaTheme="minorEastAsia" w:hAnsi="David" w:cs="David"/>
          <w:sz w:val="24"/>
          <w:szCs w:val="24"/>
        </w:rPr>
      </w:pPr>
      <w:r>
        <w:rPr>
          <w:rFonts w:ascii="David" w:eastAsiaTheme="minorEastAsia" w:hAnsi="David" w:cs="David" w:hint="cs"/>
          <w:sz w:val="24"/>
          <w:szCs w:val="24"/>
          <w:rtl/>
        </w:rPr>
        <w:t>הפסדים עסקיים שוטפים 103ח(א), והפסדי הון 103ח(ב) שנצברו טרם המיזוג, יותרו בקיזוז כנמוך מבין השניים הבאים:</w:t>
      </w:r>
    </w:p>
    <w:p w:rsidR="00D62713" w:rsidRDefault="00D62713" w:rsidP="00D62713">
      <w:pPr>
        <w:pStyle w:val="a7"/>
        <w:numPr>
          <w:ilvl w:val="0"/>
          <w:numId w:val="39"/>
        </w:numPr>
        <w:spacing w:line="360" w:lineRule="auto"/>
        <w:jc w:val="both"/>
        <w:rPr>
          <w:rFonts w:ascii="David" w:eastAsiaTheme="minorEastAsia" w:hAnsi="David" w:cs="David" w:hint="cs"/>
          <w:sz w:val="24"/>
          <w:szCs w:val="24"/>
        </w:rPr>
      </w:pPr>
      <w:r>
        <w:rPr>
          <w:rFonts w:ascii="David" w:eastAsiaTheme="minorEastAsia" w:hAnsi="David" w:cs="David" w:hint="cs"/>
          <w:sz w:val="24"/>
          <w:szCs w:val="24"/>
          <w:rtl/>
        </w:rPr>
        <w:t>20% מההפסד המועבר (ההפסד המועבר מורכב מסכום ההפסדים בשתי החברות המעבירה והקולטת מלפני המיזוג).</w:t>
      </w:r>
    </w:p>
    <w:p w:rsidR="001750C2" w:rsidRDefault="001750C2" w:rsidP="001750C2">
      <w:pPr>
        <w:pStyle w:val="a7"/>
        <w:numPr>
          <w:ilvl w:val="0"/>
          <w:numId w:val="39"/>
        </w:numPr>
        <w:spacing w:line="360" w:lineRule="auto"/>
        <w:jc w:val="both"/>
        <w:rPr>
          <w:rFonts w:ascii="David" w:eastAsiaTheme="minorEastAsia" w:hAnsi="David" w:cs="David"/>
          <w:sz w:val="24"/>
          <w:szCs w:val="24"/>
        </w:rPr>
      </w:pPr>
      <w:r>
        <w:rPr>
          <w:rFonts w:ascii="David" w:eastAsiaTheme="minorEastAsia" w:hAnsi="David" w:cs="David" w:hint="cs"/>
          <w:sz w:val="24"/>
          <w:szCs w:val="24"/>
          <w:rtl/>
        </w:rPr>
        <w:t>50% מההכנסה החייבת של החברה הקולטת בשנת המס לפני קיזוז הפסדים אלו.</w:t>
      </w:r>
    </w:p>
    <w:p w:rsidR="001750C2" w:rsidRPr="001750C2" w:rsidRDefault="001750C2" w:rsidP="001750C2">
      <w:pPr>
        <w:spacing w:line="360" w:lineRule="auto"/>
        <w:ind w:left="720"/>
        <w:jc w:val="both"/>
        <w:rPr>
          <w:rFonts w:ascii="David" w:eastAsiaTheme="minorEastAsia" w:hAnsi="David" w:cs="David"/>
          <w:sz w:val="24"/>
          <w:szCs w:val="24"/>
        </w:rPr>
      </w:pPr>
      <w:r>
        <w:rPr>
          <w:rFonts w:ascii="David" w:eastAsiaTheme="minorEastAsia" w:hAnsi="David" w:cs="David" w:hint="cs"/>
          <w:sz w:val="24"/>
          <w:szCs w:val="24"/>
          <w:rtl/>
        </w:rPr>
        <w:lastRenderedPageBreak/>
        <w:t xml:space="preserve">כלומר, הפסדים עסקיים והפסדים הוניים שמקורם בתקופה שמלפני המיזוג לא יותרו בקיזוז כנגד ההכנסה של החברה הממוזגת או כנגד </w:t>
      </w:r>
      <w:proofErr w:type="spellStart"/>
      <w:r>
        <w:rPr>
          <w:rFonts w:ascii="David" w:eastAsiaTheme="minorEastAsia" w:hAnsi="David" w:cs="David" w:hint="cs"/>
          <w:sz w:val="24"/>
          <w:szCs w:val="24"/>
          <w:rtl/>
        </w:rPr>
        <w:t>רוו"ה</w:t>
      </w:r>
      <w:proofErr w:type="spellEnd"/>
      <w:r>
        <w:rPr>
          <w:rFonts w:ascii="David" w:eastAsiaTheme="minorEastAsia" w:hAnsi="David" w:cs="David" w:hint="cs"/>
          <w:sz w:val="24"/>
          <w:szCs w:val="24"/>
          <w:rtl/>
        </w:rPr>
        <w:t xml:space="preserve"> לרבות שבח שנוצר בה אלא על פני 5 שנים בלבד </w:t>
      </w:r>
    </w:p>
    <w:p w:rsidR="00D62713" w:rsidRPr="000E2846" w:rsidRDefault="00761698" w:rsidP="00761698">
      <w:pPr>
        <w:pStyle w:val="a7"/>
        <w:numPr>
          <w:ilvl w:val="0"/>
          <w:numId w:val="38"/>
        </w:numPr>
        <w:spacing w:line="360" w:lineRule="auto"/>
        <w:jc w:val="both"/>
        <w:rPr>
          <w:rFonts w:ascii="David" w:eastAsiaTheme="minorEastAsia" w:hAnsi="David" w:cs="David" w:hint="cs"/>
          <w:sz w:val="24"/>
          <w:szCs w:val="24"/>
        </w:rPr>
      </w:pPr>
      <w:r>
        <w:rPr>
          <w:rFonts w:ascii="David" w:eastAsiaTheme="minorEastAsia" w:hAnsi="David" w:cs="David" w:hint="cs"/>
          <w:sz w:val="24"/>
          <w:szCs w:val="24"/>
          <w:rtl/>
        </w:rPr>
        <w:t>ההפסד הנוסף סעיף 103ח</w:t>
      </w:r>
      <w:r>
        <w:rPr>
          <w:rFonts w:eastAsiaTheme="minorEastAsia" w:cs="David" w:hint="cs"/>
          <w:sz w:val="24"/>
          <w:szCs w:val="24"/>
          <w:rtl/>
        </w:rPr>
        <w:t xml:space="preserve">(ג), כאשר ההכנסה האפקטיבית היא מגבלת ההכנסה החייבת </w:t>
      </w:r>
      <w:r w:rsidR="000E2846">
        <w:rPr>
          <w:rFonts w:eastAsiaTheme="minorEastAsia" w:cs="David" w:hint="cs"/>
          <w:sz w:val="24"/>
          <w:szCs w:val="24"/>
          <w:rtl/>
        </w:rPr>
        <w:t>כנגד ההכנסה החייבת נוצר "הפסד נוסף" על הפסד זה לא יחולו מגבלת ה-20% אלא רק מגבלת ה-50% מההכנסה החייבת. כלומר, בשנים הבאות יותר הפסד זה לקיזוז בנוסף להפסדים השוטפים המותרים בקיזוז במגבלת סעיף 103ח(א) כל עוד מתקיימת מגבלת ה-50%.</w:t>
      </w:r>
    </w:p>
    <w:p w:rsidR="000E2846" w:rsidRDefault="000E2846" w:rsidP="000E2846">
      <w:pPr>
        <w:spacing w:line="360" w:lineRule="auto"/>
        <w:jc w:val="both"/>
        <w:rPr>
          <w:rFonts w:ascii="David" w:eastAsiaTheme="minorEastAsia" w:hAnsi="David" w:cs="David"/>
          <w:b/>
          <w:bCs/>
          <w:sz w:val="24"/>
          <w:szCs w:val="24"/>
          <w:u w:val="single"/>
          <w:rtl/>
        </w:rPr>
      </w:pPr>
      <w:r>
        <w:rPr>
          <w:rFonts w:ascii="David" w:eastAsiaTheme="minorEastAsia" w:hAnsi="David" w:cs="David" w:hint="cs"/>
          <w:b/>
          <w:bCs/>
          <w:sz w:val="24"/>
          <w:szCs w:val="24"/>
          <w:u w:val="single"/>
          <w:rtl/>
        </w:rPr>
        <w:t>הערות:</w:t>
      </w:r>
    </w:p>
    <w:p w:rsidR="000E2846" w:rsidRPr="000E2846" w:rsidRDefault="000E2846" w:rsidP="000E2846">
      <w:pPr>
        <w:pStyle w:val="a7"/>
        <w:numPr>
          <w:ilvl w:val="0"/>
          <w:numId w:val="40"/>
        </w:numPr>
        <w:spacing w:line="360" w:lineRule="auto"/>
        <w:jc w:val="both"/>
        <w:rPr>
          <w:rFonts w:ascii="David" w:eastAsiaTheme="minorEastAsia" w:hAnsi="David" w:cs="David"/>
          <w:b/>
          <w:bCs/>
          <w:sz w:val="24"/>
          <w:szCs w:val="24"/>
          <w:u w:val="single"/>
        </w:rPr>
      </w:pPr>
      <w:r>
        <w:rPr>
          <w:rFonts w:ascii="David" w:eastAsiaTheme="minorEastAsia" w:hAnsi="David" w:cs="David" w:hint="cs"/>
          <w:sz w:val="24"/>
          <w:szCs w:val="24"/>
          <w:rtl/>
        </w:rPr>
        <w:t xml:space="preserve">בחלוף 5 שנים ממועד המיזוג יותר ההפסדים שמקורם לפני המיזוג ללא כל הגבלה . </w:t>
      </w:r>
    </w:p>
    <w:p w:rsidR="000E2846" w:rsidRPr="000E2846" w:rsidRDefault="000E2846" w:rsidP="000E2846">
      <w:pPr>
        <w:pStyle w:val="a7"/>
        <w:numPr>
          <w:ilvl w:val="0"/>
          <w:numId w:val="40"/>
        </w:numPr>
        <w:spacing w:line="360" w:lineRule="auto"/>
        <w:jc w:val="both"/>
        <w:rPr>
          <w:rFonts w:ascii="David" w:eastAsiaTheme="minorEastAsia" w:hAnsi="David" w:cs="David"/>
          <w:b/>
          <w:bCs/>
          <w:sz w:val="24"/>
          <w:szCs w:val="24"/>
          <w:u w:val="single"/>
        </w:rPr>
      </w:pPr>
      <w:r>
        <w:rPr>
          <w:rFonts w:ascii="David" w:eastAsiaTheme="minorEastAsia" w:hAnsi="David" w:cs="David" w:hint="cs"/>
          <w:sz w:val="24"/>
          <w:szCs w:val="24"/>
          <w:rtl/>
        </w:rPr>
        <w:t xml:space="preserve">אם לא ניתן לקזז בשנה מסוימת, נקזז בשנה העוקבת את ההפסד הנוסף ואם נוצר מצב שבשנה מסוימת לא </w:t>
      </w:r>
      <w:proofErr w:type="spellStart"/>
      <w:r>
        <w:rPr>
          <w:rFonts w:ascii="David" w:eastAsiaTheme="minorEastAsia" w:hAnsi="David" w:cs="David" w:hint="cs"/>
          <w:sz w:val="24"/>
          <w:szCs w:val="24"/>
          <w:rtl/>
        </w:rPr>
        <w:t>היתה</w:t>
      </w:r>
      <w:proofErr w:type="spellEnd"/>
      <w:r>
        <w:rPr>
          <w:rFonts w:ascii="David" w:eastAsiaTheme="minorEastAsia" w:hAnsi="David" w:cs="David" w:hint="cs"/>
          <w:sz w:val="24"/>
          <w:szCs w:val="24"/>
          <w:rtl/>
        </w:rPr>
        <w:t xml:space="preserve"> הכנסה חייבת כי אם הפסד שמועבר לשנה העוקבת למעשה בשנה העוקבת קיימים שני הפסדים:</w:t>
      </w:r>
    </w:p>
    <w:p w:rsidR="000E2846" w:rsidRPr="000E2846" w:rsidRDefault="000E2846" w:rsidP="000E2846">
      <w:pPr>
        <w:pStyle w:val="a7"/>
        <w:numPr>
          <w:ilvl w:val="0"/>
          <w:numId w:val="41"/>
        </w:numPr>
        <w:spacing w:line="360" w:lineRule="auto"/>
        <w:jc w:val="both"/>
        <w:rPr>
          <w:rFonts w:ascii="David" w:eastAsiaTheme="minorEastAsia" w:hAnsi="David" w:cs="David" w:hint="cs"/>
          <w:b/>
          <w:bCs/>
          <w:sz w:val="24"/>
          <w:szCs w:val="24"/>
          <w:u w:val="single"/>
        </w:rPr>
      </w:pPr>
      <w:r>
        <w:rPr>
          <w:rFonts w:ascii="David" w:eastAsiaTheme="minorEastAsia" w:hAnsi="David" w:cs="David" w:hint="cs"/>
          <w:sz w:val="24"/>
          <w:szCs w:val="24"/>
          <w:rtl/>
        </w:rPr>
        <w:t>הפסד נוסף</w:t>
      </w:r>
    </w:p>
    <w:p w:rsidR="000E2846" w:rsidRPr="000E2846" w:rsidRDefault="000E2846" w:rsidP="000E2846">
      <w:pPr>
        <w:pStyle w:val="a7"/>
        <w:numPr>
          <w:ilvl w:val="0"/>
          <w:numId w:val="41"/>
        </w:numPr>
        <w:spacing w:line="360" w:lineRule="auto"/>
        <w:jc w:val="both"/>
        <w:rPr>
          <w:rFonts w:ascii="David" w:eastAsiaTheme="minorEastAsia" w:hAnsi="David" w:cs="David"/>
          <w:b/>
          <w:bCs/>
          <w:sz w:val="24"/>
          <w:szCs w:val="24"/>
          <w:u w:val="single"/>
        </w:rPr>
      </w:pPr>
      <w:r>
        <w:rPr>
          <w:rFonts w:ascii="David" w:eastAsiaTheme="minorEastAsia" w:hAnsi="David" w:cs="David" w:hint="cs"/>
          <w:sz w:val="24"/>
          <w:szCs w:val="24"/>
          <w:rtl/>
        </w:rPr>
        <w:t>הפסד מועבר רגיל</w:t>
      </w:r>
    </w:p>
    <w:p w:rsidR="007340B9" w:rsidRDefault="000E2846" w:rsidP="007340B9">
      <w:pPr>
        <w:spacing w:line="360" w:lineRule="auto"/>
        <w:ind w:left="720"/>
        <w:jc w:val="both"/>
        <w:rPr>
          <w:rFonts w:ascii="David" w:eastAsiaTheme="minorEastAsia" w:hAnsi="David" w:cs="David"/>
          <w:sz w:val="24"/>
          <w:szCs w:val="24"/>
          <w:rtl/>
        </w:rPr>
      </w:pPr>
      <w:r w:rsidRPr="000E2846">
        <w:rPr>
          <w:rFonts w:ascii="David" w:eastAsiaTheme="minorEastAsia" w:hAnsi="David" w:cs="David" w:hint="cs"/>
          <w:b/>
          <w:bCs/>
          <w:sz w:val="24"/>
          <w:szCs w:val="24"/>
          <w:rtl/>
        </w:rPr>
        <w:t>נשאלת השאלה מה סדר הקיזוז?</w:t>
      </w:r>
      <w:r>
        <w:rPr>
          <w:rFonts w:ascii="David" w:eastAsiaTheme="minorEastAsia" w:hAnsi="David" w:cs="David" w:hint="cs"/>
          <w:b/>
          <w:bCs/>
          <w:sz w:val="24"/>
          <w:szCs w:val="24"/>
          <w:rtl/>
        </w:rPr>
        <w:t xml:space="preserve"> </w:t>
      </w:r>
      <w:r>
        <w:rPr>
          <w:rFonts w:ascii="David" w:eastAsiaTheme="minorEastAsia" w:hAnsi="David" w:cs="David" w:hint="cs"/>
          <w:sz w:val="24"/>
          <w:szCs w:val="24"/>
          <w:rtl/>
        </w:rPr>
        <w:t xml:space="preserve">קודם נקזז את ההפסד הנוסף כי הוא מוגבל יותר אח"כ נקזז את ההפסד המועבר הרגיל. קביעה זו אינה חד משמעית ואם בנסיבות המקרה  עדיף לקזז אחרת נעשה זאת. </w:t>
      </w:r>
    </w:p>
    <w:p w:rsidR="007340B9" w:rsidRDefault="007340B9" w:rsidP="007340B9">
      <w:pPr>
        <w:spacing w:line="360" w:lineRule="auto"/>
        <w:jc w:val="both"/>
        <w:rPr>
          <w:rFonts w:ascii="David" w:eastAsiaTheme="minorEastAsia" w:hAnsi="David" w:cs="David"/>
          <w:b/>
          <w:bCs/>
          <w:sz w:val="24"/>
          <w:szCs w:val="24"/>
          <w:rtl/>
        </w:rPr>
      </w:pPr>
      <w:r>
        <w:rPr>
          <w:rFonts w:ascii="David" w:eastAsiaTheme="minorEastAsia" w:hAnsi="David" w:cs="David" w:hint="cs"/>
          <w:b/>
          <w:bCs/>
          <w:sz w:val="24"/>
          <w:szCs w:val="24"/>
          <w:rtl/>
        </w:rPr>
        <w:t>דוגמא:</w:t>
      </w:r>
    </w:p>
    <w:p w:rsidR="007340B9" w:rsidRDefault="007340B9" w:rsidP="007340B9">
      <w:pPr>
        <w:spacing w:line="360" w:lineRule="auto"/>
        <w:jc w:val="both"/>
        <w:rPr>
          <w:rFonts w:ascii="David" w:eastAsiaTheme="minorEastAsia" w:hAnsi="David" w:cs="David" w:hint="cs"/>
          <w:b/>
          <w:bCs/>
          <w:sz w:val="24"/>
          <w:szCs w:val="24"/>
          <w:rtl/>
        </w:rPr>
      </w:pPr>
      <w:r>
        <w:rPr>
          <w:rFonts w:ascii="David" w:eastAsiaTheme="minorEastAsia" w:hAnsi="David" w:cs="David" w:hint="cs"/>
          <w:b/>
          <w:bCs/>
          <w:sz w:val="24"/>
          <w:szCs w:val="24"/>
          <w:rtl/>
        </w:rPr>
        <w:t>סך ההפסדים המועברים 1,500</w:t>
      </w:r>
    </w:p>
    <w:p w:rsidR="007340B9" w:rsidRDefault="007340B9" w:rsidP="007340B9">
      <w:pPr>
        <w:spacing w:line="360" w:lineRule="auto"/>
        <w:jc w:val="both"/>
        <w:rPr>
          <w:rFonts w:ascii="David" w:eastAsiaTheme="minorEastAsia" w:hAnsi="David" w:cs="David"/>
          <w:b/>
          <w:bCs/>
          <w:sz w:val="24"/>
          <w:szCs w:val="24"/>
          <w:rtl/>
        </w:rPr>
      </w:pPr>
      <w:r>
        <w:rPr>
          <w:rFonts w:ascii="David" w:eastAsiaTheme="minorEastAsia" w:hAnsi="David" w:cs="David" w:hint="cs"/>
          <w:b/>
          <w:bCs/>
          <w:sz w:val="24"/>
          <w:szCs w:val="24"/>
          <w:rtl/>
        </w:rPr>
        <w:t>הכנסות חייבות:</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851"/>
        <w:gridCol w:w="1559"/>
        <w:gridCol w:w="1466"/>
        <w:gridCol w:w="1095"/>
        <w:gridCol w:w="1550"/>
      </w:tblGrid>
      <w:tr w:rsidR="007340B9" w:rsidTr="00136F21">
        <w:tc>
          <w:tcPr>
            <w:tcW w:w="1785" w:type="dxa"/>
            <w:vAlign w:val="center"/>
          </w:tcPr>
          <w:p w:rsidR="007340B9" w:rsidRDefault="007340B9" w:rsidP="007340B9">
            <w:pPr>
              <w:spacing w:line="360" w:lineRule="auto"/>
              <w:rPr>
                <w:rFonts w:ascii="David" w:eastAsiaTheme="minorEastAsia" w:hAnsi="David" w:cs="David"/>
                <w:b/>
                <w:bCs/>
                <w:sz w:val="24"/>
                <w:szCs w:val="24"/>
                <w:rtl/>
              </w:rPr>
            </w:pPr>
          </w:p>
        </w:tc>
        <w:tc>
          <w:tcPr>
            <w:tcW w:w="851" w:type="dxa"/>
            <w:vAlign w:val="center"/>
          </w:tcPr>
          <w:p w:rsidR="007340B9" w:rsidRDefault="007340B9" w:rsidP="007340B9">
            <w:pPr>
              <w:spacing w:line="360" w:lineRule="auto"/>
              <w:rPr>
                <w:rFonts w:ascii="David" w:eastAsiaTheme="minorEastAsia" w:hAnsi="David" w:cs="David"/>
                <w:b/>
                <w:bCs/>
                <w:sz w:val="24"/>
                <w:szCs w:val="24"/>
                <w:rtl/>
              </w:rPr>
            </w:pPr>
            <w:r>
              <w:rPr>
                <w:rFonts w:ascii="David" w:eastAsiaTheme="minorEastAsia" w:hAnsi="David" w:cs="David" w:hint="cs"/>
                <w:b/>
                <w:bCs/>
                <w:sz w:val="24"/>
                <w:szCs w:val="24"/>
                <w:rtl/>
              </w:rPr>
              <w:t>שנה  1</w:t>
            </w:r>
          </w:p>
        </w:tc>
        <w:tc>
          <w:tcPr>
            <w:tcW w:w="1559" w:type="dxa"/>
            <w:vAlign w:val="center"/>
          </w:tcPr>
          <w:p w:rsidR="007340B9" w:rsidRDefault="007340B9" w:rsidP="007340B9">
            <w:pPr>
              <w:spacing w:line="360" w:lineRule="auto"/>
              <w:rPr>
                <w:rFonts w:ascii="David" w:eastAsiaTheme="minorEastAsia" w:hAnsi="David" w:cs="David"/>
                <w:b/>
                <w:bCs/>
                <w:sz w:val="24"/>
                <w:szCs w:val="24"/>
                <w:rtl/>
              </w:rPr>
            </w:pPr>
            <w:r>
              <w:rPr>
                <w:rFonts w:ascii="David" w:eastAsiaTheme="minorEastAsia" w:hAnsi="David" w:cs="David" w:hint="cs"/>
                <w:b/>
                <w:bCs/>
                <w:sz w:val="24"/>
                <w:szCs w:val="24"/>
                <w:rtl/>
              </w:rPr>
              <w:t>שנה 2</w:t>
            </w:r>
          </w:p>
        </w:tc>
        <w:tc>
          <w:tcPr>
            <w:tcW w:w="1466" w:type="dxa"/>
            <w:vAlign w:val="center"/>
          </w:tcPr>
          <w:p w:rsidR="007340B9" w:rsidRDefault="007340B9" w:rsidP="007340B9">
            <w:pPr>
              <w:spacing w:line="360" w:lineRule="auto"/>
              <w:rPr>
                <w:rFonts w:ascii="David" w:eastAsiaTheme="minorEastAsia" w:hAnsi="David" w:cs="David"/>
                <w:b/>
                <w:bCs/>
                <w:sz w:val="24"/>
                <w:szCs w:val="24"/>
                <w:rtl/>
              </w:rPr>
            </w:pPr>
            <w:r>
              <w:rPr>
                <w:rFonts w:ascii="David" w:eastAsiaTheme="minorEastAsia" w:hAnsi="David" w:cs="David" w:hint="cs"/>
                <w:b/>
                <w:bCs/>
                <w:sz w:val="24"/>
                <w:szCs w:val="24"/>
                <w:rtl/>
              </w:rPr>
              <w:t>שנה 3</w:t>
            </w:r>
          </w:p>
        </w:tc>
        <w:tc>
          <w:tcPr>
            <w:tcW w:w="1095" w:type="dxa"/>
            <w:vAlign w:val="center"/>
          </w:tcPr>
          <w:p w:rsidR="007340B9" w:rsidRDefault="007340B9" w:rsidP="007340B9">
            <w:pPr>
              <w:spacing w:line="360" w:lineRule="auto"/>
              <w:rPr>
                <w:rFonts w:ascii="David" w:eastAsiaTheme="minorEastAsia" w:hAnsi="David" w:cs="David"/>
                <w:b/>
                <w:bCs/>
                <w:sz w:val="24"/>
                <w:szCs w:val="24"/>
                <w:rtl/>
              </w:rPr>
            </w:pPr>
            <w:r>
              <w:rPr>
                <w:rFonts w:ascii="David" w:eastAsiaTheme="minorEastAsia" w:hAnsi="David" w:cs="David" w:hint="cs"/>
                <w:b/>
                <w:bCs/>
                <w:sz w:val="24"/>
                <w:szCs w:val="24"/>
                <w:rtl/>
              </w:rPr>
              <w:t>שנה 4</w:t>
            </w:r>
          </w:p>
        </w:tc>
        <w:tc>
          <w:tcPr>
            <w:tcW w:w="0" w:type="auto"/>
            <w:vAlign w:val="center"/>
          </w:tcPr>
          <w:p w:rsidR="007340B9" w:rsidRDefault="007340B9" w:rsidP="007340B9">
            <w:pPr>
              <w:spacing w:line="360" w:lineRule="auto"/>
              <w:rPr>
                <w:rFonts w:ascii="David" w:eastAsiaTheme="minorEastAsia" w:hAnsi="David" w:cs="David"/>
                <w:b/>
                <w:bCs/>
                <w:sz w:val="24"/>
                <w:szCs w:val="24"/>
                <w:rtl/>
              </w:rPr>
            </w:pPr>
            <w:r>
              <w:rPr>
                <w:rFonts w:ascii="David" w:eastAsiaTheme="minorEastAsia" w:hAnsi="David" w:cs="David" w:hint="cs"/>
                <w:b/>
                <w:bCs/>
                <w:sz w:val="24"/>
                <w:szCs w:val="24"/>
                <w:rtl/>
              </w:rPr>
              <w:t>שנה 5</w:t>
            </w:r>
          </w:p>
        </w:tc>
      </w:tr>
      <w:tr w:rsidR="007340B9" w:rsidTr="00136F21">
        <w:tc>
          <w:tcPr>
            <w:tcW w:w="1785" w:type="dxa"/>
            <w:vAlign w:val="center"/>
          </w:tcPr>
          <w:p w:rsidR="007340B9" w:rsidRDefault="007340B9" w:rsidP="007340B9">
            <w:pPr>
              <w:spacing w:line="360" w:lineRule="auto"/>
              <w:rPr>
                <w:rFonts w:ascii="David" w:eastAsiaTheme="minorEastAsia" w:hAnsi="David" w:cs="David"/>
                <w:b/>
                <w:bCs/>
                <w:sz w:val="24"/>
                <w:szCs w:val="24"/>
                <w:rtl/>
              </w:rPr>
            </w:pPr>
            <w:r>
              <w:rPr>
                <w:rFonts w:ascii="David" w:eastAsiaTheme="minorEastAsia" w:hAnsi="David" w:cs="David" w:hint="cs"/>
                <w:b/>
                <w:bCs/>
                <w:sz w:val="24"/>
                <w:szCs w:val="24"/>
                <w:rtl/>
              </w:rPr>
              <w:t>הכנסה חייבת</w:t>
            </w:r>
          </w:p>
        </w:tc>
        <w:tc>
          <w:tcPr>
            <w:tcW w:w="851" w:type="dxa"/>
            <w:vAlign w:val="center"/>
          </w:tcPr>
          <w:p w:rsidR="007340B9" w:rsidRDefault="007340B9" w:rsidP="007340B9">
            <w:pPr>
              <w:spacing w:line="360" w:lineRule="auto"/>
              <w:rPr>
                <w:rFonts w:ascii="David" w:eastAsiaTheme="minorEastAsia" w:hAnsi="David" w:cs="David"/>
                <w:b/>
                <w:bCs/>
                <w:sz w:val="24"/>
                <w:szCs w:val="24"/>
                <w:rtl/>
              </w:rPr>
            </w:pPr>
            <w:r>
              <w:rPr>
                <w:rFonts w:ascii="David" w:eastAsiaTheme="minorEastAsia" w:hAnsi="David" w:cs="David" w:hint="cs"/>
                <w:b/>
                <w:bCs/>
                <w:sz w:val="24"/>
                <w:szCs w:val="24"/>
                <w:rtl/>
              </w:rPr>
              <w:t>0</w:t>
            </w:r>
          </w:p>
        </w:tc>
        <w:tc>
          <w:tcPr>
            <w:tcW w:w="1559" w:type="dxa"/>
            <w:vAlign w:val="center"/>
          </w:tcPr>
          <w:p w:rsidR="007340B9" w:rsidRDefault="007340B9" w:rsidP="007340B9">
            <w:pPr>
              <w:spacing w:line="360" w:lineRule="auto"/>
              <w:rPr>
                <w:rFonts w:ascii="David" w:eastAsiaTheme="minorEastAsia" w:hAnsi="David" w:cs="David"/>
                <w:b/>
                <w:bCs/>
                <w:sz w:val="24"/>
                <w:szCs w:val="24"/>
                <w:rtl/>
              </w:rPr>
            </w:pPr>
            <w:r>
              <w:rPr>
                <w:rFonts w:ascii="David" w:eastAsiaTheme="minorEastAsia" w:hAnsi="David" w:cs="David" w:hint="cs"/>
                <w:b/>
                <w:bCs/>
                <w:sz w:val="24"/>
                <w:szCs w:val="24"/>
                <w:rtl/>
              </w:rPr>
              <w:t>1,000</w:t>
            </w:r>
          </w:p>
        </w:tc>
        <w:tc>
          <w:tcPr>
            <w:tcW w:w="1466" w:type="dxa"/>
            <w:vAlign w:val="center"/>
          </w:tcPr>
          <w:p w:rsidR="007340B9" w:rsidRDefault="007340B9" w:rsidP="007340B9">
            <w:pPr>
              <w:spacing w:line="360" w:lineRule="auto"/>
              <w:rPr>
                <w:rFonts w:ascii="David" w:eastAsiaTheme="minorEastAsia" w:hAnsi="David" w:cs="David"/>
                <w:b/>
                <w:bCs/>
                <w:sz w:val="24"/>
                <w:szCs w:val="24"/>
                <w:rtl/>
              </w:rPr>
            </w:pPr>
            <w:r>
              <w:rPr>
                <w:rFonts w:ascii="David" w:eastAsiaTheme="minorEastAsia" w:hAnsi="David" w:cs="David" w:hint="cs"/>
                <w:b/>
                <w:bCs/>
                <w:sz w:val="24"/>
                <w:szCs w:val="24"/>
                <w:rtl/>
              </w:rPr>
              <w:t>1,000</w:t>
            </w:r>
          </w:p>
        </w:tc>
        <w:tc>
          <w:tcPr>
            <w:tcW w:w="1095" w:type="dxa"/>
            <w:vAlign w:val="center"/>
          </w:tcPr>
          <w:p w:rsidR="007340B9" w:rsidRDefault="007340B9" w:rsidP="007340B9">
            <w:pPr>
              <w:spacing w:line="360" w:lineRule="auto"/>
              <w:rPr>
                <w:rFonts w:ascii="David" w:eastAsiaTheme="minorEastAsia" w:hAnsi="David" w:cs="David"/>
                <w:b/>
                <w:bCs/>
                <w:sz w:val="24"/>
                <w:szCs w:val="24"/>
                <w:rtl/>
              </w:rPr>
            </w:pPr>
            <w:r>
              <w:rPr>
                <w:rFonts w:ascii="David" w:eastAsiaTheme="minorEastAsia" w:hAnsi="David" w:cs="David" w:hint="cs"/>
                <w:b/>
                <w:bCs/>
                <w:sz w:val="24"/>
                <w:szCs w:val="24"/>
                <w:rtl/>
              </w:rPr>
              <w:t>(200)</w:t>
            </w:r>
          </w:p>
        </w:tc>
        <w:tc>
          <w:tcPr>
            <w:tcW w:w="0" w:type="auto"/>
            <w:vAlign w:val="center"/>
          </w:tcPr>
          <w:p w:rsidR="007340B9" w:rsidRDefault="007340B9" w:rsidP="007340B9">
            <w:pPr>
              <w:spacing w:line="360" w:lineRule="auto"/>
              <w:rPr>
                <w:rFonts w:ascii="David" w:eastAsiaTheme="minorEastAsia" w:hAnsi="David" w:cs="David"/>
                <w:b/>
                <w:bCs/>
                <w:sz w:val="24"/>
                <w:szCs w:val="24"/>
                <w:rtl/>
              </w:rPr>
            </w:pPr>
            <w:r>
              <w:rPr>
                <w:rFonts w:ascii="David" w:eastAsiaTheme="minorEastAsia" w:hAnsi="David" w:cs="David" w:hint="cs"/>
                <w:b/>
                <w:bCs/>
                <w:sz w:val="24"/>
                <w:szCs w:val="24"/>
                <w:rtl/>
              </w:rPr>
              <w:t>1,000</w:t>
            </w:r>
          </w:p>
        </w:tc>
      </w:tr>
      <w:tr w:rsidR="007340B9" w:rsidTr="00136F21">
        <w:tc>
          <w:tcPr>
            <w:tcW w:w="1785" w:type="dxa"/>
            <w:vAlign w:val="center"/>
          </w:tcPr>
          <w:p w:rsidR="007340B9" w:rsidRDefault="007340B9" w:rsidP="007340B9">
            <w:pPr>
              <w:spacing w:line="360" w:lineRule="auto"/>
              <w:rPr>
                <w:rFonts w:ascii="David" w:eastAsiaTheme="minorEastAsia" w:hAnsi="David" w:cs="David"/>
                <w:b/>
                <w:bCs/>
                <w:sz w:val="24"/>
                <w:szCs w:val="24"/>
                <w:rtl/>
              </w:rPr>
            </w:pPr>
            <w:proofErr w:type="spellStart"/>
            <w:r>
              <w:rPr>
                <w:rFonts w:ascii="David" w:eastAsiaTheme="minorEastAsia" w:hAnsi="David" w:cs="David" w:hint="cs"/>
                <w:b/>
                <w:bCs/>
                <w:sz w:val="24"/>
                <w:szCs w:val="24"/>
                <w:rtl/>
              </w:rPr>
              <w:t>פיתרון</w:t>
            </w:r>
            <w:proofErr w:type="spellEnd"/>
            <w:r>
              <w:rPr>
                <w:rFonts w:ascii="David" w:eastAsiaTheme="minorEastAsia" w:hAnsi="David" w:cs="David" w:hint="cs"/>
                <w:b/>
                <w:bCs/>
                <w:sz w:val="24"/>
                <w:szCs w:val="24"/>
                <w:rtl/>
              </w:rPr>
              <w:t>:</w:t>
            </w:r>
          </w:p>
        </w:tc>
        <w:tc>
          <w:tcPr>
            <w:tcW w:w="851" w:type="dxa"/>
            <w:vAlign w:val="center"/>
          </w:tcPr>
          <w:p w:rsidR="007340B9" w:rsidRDefault="007340B9" w:rsidP="007340B9">
            <w:pPr>
              <w:spacing w:line="360" w:lineRule="auto"/>
              <w:rPr>
                <w:rFonts w:ascii="David" w:eastAsiaTheme="minorEastAsia" w:hAnsi="David" w:cs="David"/>
                <w:b/>
                <w:bCs/>
                <w:sz w:val="24"/>
                <w:szCs w:val="24"/>
                <w:rtl/>
              </w:rPr>
            </w:pPr>
          </w:p>
        </w:tc>
        <w:tc>
          <w:tcPr>
            <w:tcW w:w="1559" w:type="dxa"/>
            <w:vAlign w:val="center"/>
          </w:tcPr>
          <w:p w:rsidR="007340B9" w:rsidRPr="007340B9" w:rsidRDefault="007340B9" w:rsidP="007340B9">
            <w:pPr>
              <w:spacing w:line="360" w:lineRule="auto"/>
              <w:rPr>
                <w:rFonts w:ascii="David" w:eastAsiaTheme="minorEastAsia" w:hAnsi="David" w:cs="David"/>
                <w:sz w:val="24"/>
                <w:szCs w:val="24"/>
                <w:rtl/>
              </w:rPr>
            </w:pPr>
          </w:p>
        </w:tc>
        <w:tc>
          <w:tcPr>
            <w:tcW w:w="1466" w:type="dxa"/>
            <w:vAlign w:val="center"/>
          </w:tcPr>
          <w:p w:rsidR="007340B9" w:rsidRDefault="007340B9" w:rsidP="007340B9">
            <w:pPr>
              <w:spacing w:line="360" w:lineRule="auto"/>
              <w:rPr>
                <w:rFonts w:ascii="David" w:eastAsiaTheme="minorEastAsia" w:hAnsi="David" w:cs="David"/>
                <w:b/>
                <w:bCs/>
                <w:sz w:val="24"/>
                <w:szCs w:val="24"/>
                <w:rtl/>
              </w:rPr>
            </w:pPr>
          </w:p>
        </w:tc>
        <w:tc>
          <w:tcPr>
            <w:tcW w:w="1095" w:type="dxa"/>
            <w:vAlign w:val="center"/>
          </w:tcPr>
          <w:p w:rsidR="007340B9" w:rsidRDefault="007340B9" w:rsidP="007340B9">
            <w:pPr>
              <w:spacing w:line="360" w:lineRule="auto"/>
              <w:rPr>
                <w:rFonts w:ascii="David" w:eastAsiaTheme="minorEastAsia" w:hAnsi="David" w:cs="David"/>
                <w:b/>
                <w:bCs/>
                <w:sz w:val="24"/>
                <w:szCs w:val="24"/>
                <w:rtl/>
              </w:rPr>
            </w:pPr>
          </w:p>
        </w:tc>
        <w:tc>
          <w:tcPr>
            <w:tcW w:w="0" w:type="auto"/>
            <w:vAlign w:val="center"/>
          </w:tcPr>
          <w:p w:rsidR="007340B9" w:rsidRPr="007340B9" w:rsidRDefault="007340B9" w:rsidP="007340B9">
            <w:pPr>
              <w:spacing w:line="360" w:lineRule="auto"/>
              <w:rPr>
                <w:rFonts w:ascii="David" w:eastAsiaTheme="minorEastAsia" w:hAnsi="David" w:cs="David" w:hint="cs"/>
                <w:sz w:val="24"/>
                <w:szCs w:val="24"/>
                <w:rtl/>
              </w:rPr>
            </w:pPr>
          </w:p>
        </w:tc>
      </w:tr>
      <w:tr w:rsidR="007340B9" w:rsidRPr="007340B9" w:rsidTr="00136F21">
        <w:tc>
          <w:tcPr>
            <w:tcW w:w="1785" w:type="dxa"/>
            <w:vAlign w:val="center"/>
          </w:tcPr>
          <w:p w:rsidR="007340B9" w:rsidRDefault="007340B9" w:rsidP="007340B9">
            <w:pPr>
              <w:spacing w:line="360" w:lineRule="auto"/>
              <w:rPr>
                <w:rFonts w:ascii="David" w:eastAsiaTheme="minorEastAsia" w:hAnsi="David" w:cs="David"/>
                <w:b/>
                <w:bCs/>
                <w:sz w:val="24"/>
                <w:szCs w:val="24"/>
                <w:rtl/>
              </w:rPr>
            </w:pPr>
            <w:r>
              <w:rPr>
                <w:rFonts w:ascii="David" w:eastAsiaTheme="minorEastAsia" w:hAnsi="David" w:cs="David" w:hint="cs"/>
                <w:b/>
                <w:bCs/>
                <w:sz w:val="24"/>
                <w:szCs w:val="24"/>
                <w:rtl/>
              </w:rPr>
              <w:t>20% מההפסד</w:t>
            </w:r>
          </w:p>
        </w:tc>
        <w:tc>
          <w:tcPr>
            <w:tcW w:w="851" w:type="dxa"/>
            <w:vAlign w:val="center"/>
          </w:tcPr>
          <w:p w:rsidR="007340B9" w:rsidRPr="007340B9" w:rsidRDefault="007340B9" w:rsidP="007340B9">
            <w:pPr>
              <w:spacing w:line="360" w:lineRule="auto"/>
              <w:rPr>
                <w:rFonts w:ascii="David" w:eastAsiaTheme="minorEastAsia" w:hAnsi="David" w:cs="David"/>
                <w:sz w:val="24"/>
                <w:szCs w:val="24"/>
                <w:rtl/>
              </w:rPr>
            </w:pPr>
            <w:r w:rsidRPr="007340B9">
              <w:rPr>
                <w:rFonts w:ascii="David" w:eastAsiaTheme="minorEastAsia" w:hAnsi="David" w:cs="David" w:hint="cs"/>
                <w:sz w:val="24"/>
                <w:szCs w:val="24"/>
                <w:rtl/>
              </w:rPr>
              <w:t>300</w:t>
            </w:r>
          </w:p>
        </w:tc>
        <w:tc>
          <w:tcPr>
            <w:tcW w:w="1559" w:type="dxa"/>
            <w:vAlign w:val="center"/>
          </w:tcPr>
          <w:p w:rsidR="007340B9" w:rsidRPr="007340B9" w:rsidRDefault="007340B9" w:rsidP="007340B9">
            <w:pPr>
              <w:spacing w:line="360" w:lineRule="auto"/>
              <w:rPr>
                <w:rFonts w:eastAsiaTheme="minorEastAsia" w:cs="David"/>
                <w:sz w:val="24"/>
                <w:szCs w:val="24"/>
              </w:rPr>
            </w:pPr>
            <w:r w:rsidRPr="007340B9">
              <w:rPr>
                <w:rFonts w:eastAsiaTheme="minorEastAsia" w:cs="David"/>
                <w:sz w:val="24"/>
                <w:szCs w:val="24"/>
              </w:rPr>
              <w:t>300+</w:t>
            </w:r>
            <w:r w:rsidRPr="007340B9">
              <w:rPr>
                <w:rFonts w:eastAsiaTheme="minorEastAsia" w:cs="David"/>
                <w:color w:val="FF0000"/>
                <w:sz w:val="24"/>
                <w:szCs w:val="24"/>
              </w:rPr>
              <w:t>300</w:t>
            </w:r>
            <w:r w:rsidRPr="007340B9">
              <w:rPr>
                <w:rFonts w:eastAsiaTheme="minorEastAsia" w:cs="David"/>
                <w:sz w:val="24"/>
                <w:szCs w:val="24"/>
              </w:rPr>
              <w:t>=600</w:t>
            </w:r>
          </w:p>
        </w:tc>
        <w:tc>
          <w:tcPr>
            <w:tcW w:w="1466" w:type="dxa"/>
            <w:vAlign w:val="center"/>
          </w:tcPr>
          <w:p w:rsidR="007340B9" w:rsidRPr="007340B9" w:rsidRDefault="007340B9" w:rsidP="007340B9">
            <w:pPr>
              <w:spacing w:line="360" w:lineRule="auto"/>
              <w:rPr>
                <w:rFonts w:ascii="David" w:eastAsiaTheme="minorEastAsia" w:hAnsi="David" w:cs="David"/>
                <w:b/>
                <w:bCs/>
                <w:sz w:val="24"/>
                <w:szCs w:val="24"/>
                <w:rtl/>
              </w:rPr>
            </w:pPr>
            <w:r>
              <w:rPr>
                <w:rFonts w:ascii="David" w:eastAsiaTheme="minorEastAsia" w:hAnsi="David" w:cs="David"/>
                <w:b/>
                <w:bCs/>
                <w:sz w:val="24"/>
                <w:szCs w:val="24"/>
              </w:rPr>
              <w:t>300+</w:t>
            </w:r>
            <w:r w:rsidRPr="007340B9">
              <w:rPr>
                <w:rFonts w:ascii="David" w:eastAsiaTheme="minorEastAsia" w:hAnsi="David" w:cs="David"/>
                <w:b/>
                <w:bCs/>
                <w:color w:val="FF0000"/>
                <w:sz w:val="24"/>
                <w:szCs w:val="24"/>
              </w:rPr>
              <w:t>100</w:t>
            </w:r>
            <w:r>
              <w:rPr>
                <w:rFonts w:ascii="David" w:eastAsiaTheme="minorEastAsia" w:hAnsi="David" w:cs="David"/>
                <w:b/>
                <w:bCs/>
                <w:sz w:val="24"/>
                <w:szCs w:val="24"/>
              </w:rPr>
              <w:t>=400</w:t>
            </w:r>
          </w:p>
        </w:tc>
        <w:tc>
          <w:tcPr>
            <w:tcW w:w="1095" w:type="dxa"/>
            <w:vAlign w:val="center"/>
          </w:tcPr>
          <w:p w:rsidR="007340B9" w:rsidRPr="007340B9" w:rsidRDefault="007340B9" w:rsidP="007340B9">
            <w:pPr>
              <w:spacing w:line="360" w:lineRule="auto"/>
              <w:rPr>
                <w:rFonts w:ascii="David" w:eastAsiaTheme="minorEastAsia" w:hAnsi="David" w:cs="David"/>
                <w:sz w:val="24"/>
                <w:szCs w:val="24"/>
                <w:rtl/>
              </w:rPr>
            </w:pPr>
            <w:r w:rsidRPr="007340B9">
              <w:rPr>
                <w:rFonts w:ascii="David" w:eastAsiaTheme="minorEastAsia" w:hAnsi="David" w:cs="David" w:hint="cs"/>
                <w:sz w:val="24"/>
                <w:szCs w:val="24"/>
                <w:rtl/>
              </w:rPr>
              <w:t>300</w:t>
            </w:r>
          </w:p>
        </w:tc>
        <w:tc>
          <w:tcPr>
            <w:tcW w:w="0" w:type="auto"/>
            <w:vAlign w:val="center"/>
          </w:tcPr>
          <w:p w:rsidR="007340B9" w:rsidRPr="007340B9" w:rsidRDefault="007340B9" w:rsidP="007340B9">
            <w:pPr>
              <w:spacing w:line="360" w:lineRule="auto"/>
              <w:rPr>
                <w:rFonts w:eastAsiaTheme="minorEastAsia" w:cs="David" w:hint="cs"/>
                <w:sz w:val="24"/>
                <w:szCs w:val="24"/>
                <w:rtl/>
              </w:rPr>
            </w:pPr>
            <w:r w:rsidRPr="007340B9">
              <w:rPr>
                <w:rFonts w:eastAsiaTheme="minorEastAsia" w:cs="David"/>
                <w:sz w:val="24"/>
                <w:szCs w:val="24"/>
              </w:rPr>
              <w:t>300+</w:t>
            </w:r>
            <w:r>
              <w:rPr>
                <w:rFonts w:eastAsiaTheme="minorEastAsia" w:cs="David"/>
                <w:color w:val="FF0000"/>
                <w:sz w:val="24"/>
                <w:szCs w:val="24"/>
              </w:rPr>
              <w:t>3</w:t>
            </w:r>
            <w:r w:rsidRPr="007340B9">
              <w:rPr>
                <w:rFonts w:eastAsiaTheme="minorEastAsia" w:cs="David"/>
                <w:color w:val="FF0000"/>
                <w:sz w:val="24"/>
                <w:szCs w:val="24"/>
              </w:rPr>
              <w:t>00</w:t>
            </w:r>
            <w:r>
              <w:rPr>
                <w:rFonts w:eastAsiaTheme="minorEastAsia" w:cs="David"/>
                <w:sz w:val="24"/>
                <w:szCs w:val="24"/>
              </w:rPr>
              <w:t>=6</w:t>
            </w:r>
            <w:r w:rsidRPr="007340B9">
              <w:rPr>
                <w:rFonts w:eastAsiaTheme="minorEastAsia" w:cs="David"/>
                <w:sz w:val="24"/>
                <w:szCs w:val="24"/>
              </w:rPr>
              <w:t>00</w:t>
            </w:r>
          </w:p>
        </w:tc>
      </w:tr>
      <w:tr w:rsidR="007340B9" w:rsidRPr="007340B9" w:rsidTr="00136F21">
        <w:tc>
          <w:tcPr>
            <w:tcW w:w="1785" w:type="dxa"/>
            <w:vAlign w:val="center"/>
          </w:tcPr>
          <w:p w:rsidR="007340B9" w:rsidRDefault="007340B9" w:rsidP="007340B9">
            <w:pPr>
              <w:spacing w:line="360" w:lineRule="auto"/>
              <w:rPr>
                <w:rFonts w:ascii="David" w:eastAsiaTheme="minorEastAsia" w:hAnsi="David" w:cs="David"/>
                <w:b/>
                <w:bCs/>
                <w:sz w:val="24"/>
                <w:szCs w:val="24"/>
                <w:rtl/>
              </w:rPr>
            </w:pPr>
            <w:r>
              <w:rPr>
                <w:rFonts w:ascii="David" w:eastAsiaTheme="minorEastAsia" w:hAnsi="David" w:cs="David" w:hint="cs"/>
                <w:b/>
                <w:bCs/>
                <w:sz w:val="24"/>
                <w:szCs w:val="24"/>
                <w:rtl/>
              </w:rPr>
              <w:t>50% מההכנסה החייבת</w:t>
            </w:r>
          </w:p>
        </w:tc>
        <w:tc>
          <w:tcPr>
            <w:tcW w:w="851" w:type="dxa"/>
            <w:vAlign w:val="center"/>
          </w:tcPr>
          <w:p w:rsidR="007340B9" w:rsidRPr="007340B9" w:rsidRDefault="007340B9" w:rsidP="007340B9">
            <w:pPr>
              <w:spacing w:line="360" w:lineRule="auto"/>
              <w:rPr>
                <w:rFonts w:ascii="David" w:eastAsiaTheme="minorEastAsia" w:hAnsi="David" w:cs="David"/>
                <w:b/>
                <w:bCs/>
                <w:sz w:val="24"/>
                <w:szCs w:val="24"/>
                <w:rtl/>
              </w:rPr>
            </w:pPr>
            <w:r w:rsidRPr="007340B9">
              <w:rPr>
                <w:rFonts w:ascii="David" w:eastAsiaTheme="minorEastAsia" w:hAnsi="David" w:cs="David" w:hint="cs"/>
                <w:b/>
                <w:bCs/>
                <w:sz w:val="24"/>
                <w:szCs w:val="24"/>
                <w:rtl/>
              </w:rPr>
              <w:t>0</w:t>
            </w:r>
          </w:p>
        </w:tc>
        <w:tc>
          <w:tcPr>
            <w:tcW w:w="1559" w:type="dxa"/>
            <w:vAlign w:val="center"/>
          </w:tcPr>
          <w:p w:rsidR="007340B9" w:rsidRPr="007340B9" w:rsidRDefault="007340B9" w:rsidP="007340B9">
            <w:pPr>
              <w:spacing w:line="360" w:lineRule="auto"/>
              <w:rPr>
                <w:rFonts w:ascii="David" w:eastAsiaTheme="minorEastAsia" w:hAnsi="David" w:cs="David"/>
                <w:b/>
                <w:bCs/>
                <w:sz w:val="24"/>
                <w:szCs w:val="24"/>
                <w:rtl/>
              </w:rPr>
            </w:pPr>
            <w:r w:rsidRPr="007340B9">
              <w:rPr>
                <w:rFonts w:ascii="David" w:eastAsiaTheme="minorEastAsia" w:hAnsi="David" w:cs="David" w:hint="cs"/>
                <w:b/>
                <w:bCs/>
                <w:sz w:val="24"/>
                <w:szCs w:val="24"/>
                <w:rtl/>
              </w:rPr>
              <w:t>500</w:t>
            </w:r>
          </w:p>
        </w:tc>
        <w:tc>
          <w:tcPr>
            <w:tcW w:w="1466" w:type="dxa"/>
            <w:vAlign w:val="center"/>
          </w:tcPr>
          <w:p w:rsidR="007340B9" w:rsidRPr="007340B9" w:rsidRDefault="007340B9" w:rsidP="007340B9">
            <w:pPr>
              <w:spacing w:line="360" w:lineRule="auto"/>
              <w:rPr>
                <w:rFonts w:ascii="David" w:eastAsiaTheme="minorEastAsia" w:hAnsi="David" w:cs="David"/>
                <w:sz w:val="24"/>
                <w:szCs w:val="24"/>
                <w:rtl/>
              </w:rPr>
            </w:pPr>
            <w:r w:rsidRPr="007340B9">
              <w:rPr>
                <w:rFonts w:ascii="David" w:eastAsiaTheme="minorEastAsia" w:hAnsi="David" w:cs="David" w:hint="cs"/>
                <w:sz w:val="24"/>
                <w:szCs w:val="24"/>
                <w:rtl/>
              </w:rPr>
              <w:t>500</w:t>
            </w:r>
          </w:p>
        </w:tc>
        <w:tc>
          <w:tcPr>
            <w:tcW w:w="1095" w:type="dxa"/>
            <w:vAlign w:val="center"/>
          </w:tcPr>
          <w:p w:rsidR="007340B9" w:rsidRPr="007340B9" w:rsidRDefault="007340B9" w:rsidP="007340B9">
            <w:pPr>
              <w:spacing w:line="360" w:lineRule="auto"/>
              <w:rPr>
                <w:rFonts w:ascii="David" w:eastAsiaTheme="minorEastAsia" w:hAnsi="David" w:cs="David"/>
                <w:b/>
                <w:bCs/>
                <w:sz w:val="24"/>
                <w:szCs w:val="24"/>
                <w:rtl/>
              </w:rPr>
            </w:pPr>
            <w:r w:rsidRPr="007340B9">
              <w:rPr>
                <w:rFonts w:ascii="David" w:eastAsiaTheme="minorEastAsia" w:hAnsi="David" w:cs="David" w:hint="cs"/>
                <w:b/>
                <w:bCs/>
                <w:sz w:val="24"/>
                <w:szCs w:val="24"/>
                <w:rtl/>
              </w:rPr>
              <w:t>0</w:t>
            </w:r>
          </w:p>
        </w:tc>
        <w:tc>
          <w:tcPr>
            <w:tcW w:w="0" w:type="auto"/>
            <w:vAlign w:val="center"/>
          </w:tcPr>
          <w:p w:rsidR="007340B9" w:rsidRPr="007340B9" w:rsidRDefault="007340B9" w:rsidP="007340B9">
            <w:pPr>
              <w:spacing w:line="360" w:lineRule="auto"/>
              <w:rPr>
                <w:rFonts w:ascii="David" w:eastAsiaTheme="minorEastAsia" w:hAnsi="David" w:cs="David" w:hint="cs"/>
                <w:b/>
                <w:bCs/>
                <w:sz w:val="24"/>
                <w:szCs w:val="24"/>
                <w:rtl/>
              </w:rPr>
            </w:pPr>
            <w:r w:rsidRPr="007340B9">
              <w:rPr>
                <w:rFonts w:ascii="David" w:eastAsiaTheme="minorEastAsia" w:hAnsi="David" w:cs="David" w:hint="cs"/>
                <w:b/>
                <w:bCs/>
                <w:sz w:val="24"/>
                <w:szCs w:val="24"/>
                <w:rtl/>
              </w:rPr>
              <w:t>500</w:t>
            </w:r>
          </w:p>
        </w:tc>
      </w:tr>
      <w:tr w:rsidR="007340B9" w:rsidTr="00136F21">
        <w:tc>
          <w:tcPr>
            <w:tcW w:w="1785" w:type="dxa"/>
            <w:vAlign w:val="center"/>
          </w:tcPr>
          <w:p w:rsidR="007340B9" w:rsidRDefault="007340B9" w:rsidP="007340B9">
            <w:pPr>
              <w:spacing w:line="360" w:lineRule="auto"/>
              <w:rPr>
                <w:rFonts w:ascii="David" w:eastAsiaTheme="minorEastAsia" w:hAnsi="David" w:cs="David"/>
                <w:b/>
                <w:bCs/>
                <w:sz w:val="24"/>
                <w:szCs w:val="24"/>
                <w:rtl/>
              </w:rPr>
            </w:pPr>
            <w:r>
              <w:rPr>
                <w:rFonts w:ascii="David" w:eastAsiaTheme="minorEastAsia" w:hAnsi="David" w:cs="David" w:hint="cs"/>
                <w:b/>
                <w:bCs/>
                <w:sz w:val="24"/>
                <w:szCs w:val="24"/>
                <w:rtl/>
              </w:rPr>
              <w:t>הכנסה חייבת</w:t>
            </w:r>
          </w:p>
        </w:tc>
        <w:tc>
          <w:tcPr>
            <w:tcW w:w="851" w:type="dxa"/>
            <w:vAlign w:val="center"/>
          </w:tcPr>
          <w:p w:rsidR="007340B9" w:rsidRDefault="007340B9" w:rsidP="007340B9">
            <w:pPr>
              <w:spacing w:line="360" w:lineRule="auto"/>
              <w:rPr>
                <w:rFonts w:ascii="David" w:eastAsiaTheme="minorEastAsia" w:hAnsi="David" w:cs="David"/>
                <w:b/>
                <w:bCs/>
                <w:sz w:val="24"/>
                <w:szCs w:val="24"/>
                <w:rtl/>
              </w:rPr>
            </w:pPr>
            <w:r>
              <w:rPr>
                <w:rFonts w:ascii="David" w:eastAsiaTheme="minorEastAsia" w:hAnsi="David" w:cs="David" w:hint="cs"/>
                <w:b/>
                <w:bCs/>
                <w:sz w:val="24"/>
                <w:szCs w:val="24"/>
                <w:rtl/>
              </w:rPr>
              <w:t>0</w:t>
            </w:r>
          </w:p>
        </w:tc>
        <w:tc>
          <w:tcPr>
            <w:tcW w:w="1559" w:type="dxa"/>
            <w:vAlign w:val="center"/>
          </w:tcPr>
          <w:p w:rsidR="007340B9" w:rsidRDefault="007340B9" w:rsidP="007340B9">
            <w:pPr>
              <w:spacing w:line="360" w:lineRule="auto"/>
              <w:rPr>
                <w:rFonts w:ascii="David" w:eastAsiaTheme="minorEastAsia" w:hAnsi="David" w:cs="David"/>
                <w:b/>
                <w:bCs/>
                <w:sz w:val="24"/>
                <w:szCs w:val="24"/>
                <w:rtl/>
              </w:rPr>
            </w:pPr>
            <w:r>
              <w:rPr>
                <w:rFonts w:ascii="David" w:eastAsiaTheme="minorEastAsia" w:hAnsi="David" w:cs="David" w:hint="cs"/>
                <w:b/>
                <w:bCs/>
                <w:sz w:val="24"/>
                <w:szCs w:val="24"/>
                <w:rtl/>
              </w:rPr>
              <w:t>500</w:t>
            </w:r>
          </w:p>
        </w:tc>
        <w:tc>
          <w:tcPr>
            <w:tcW w:w="1466" w:type="dxa"/>
            <w:vAlign w:val="center"/>
          </w:tcPr>
          <w:p w:rsidR="007340B9" w:rsidRDefault="007340B9" w:rsidP="007340B9">
            <w:pPr>
              <w:spacing w:line="360" w:lineRule="auto"/>
              <w:rPr>
                <w:rFonts w:ascii="David" w:eastAsiaTheme="minorEastAsia" w:hAnsi="David" w:cs="David"/>
                <w:b/>
                <w:bCs/>
                <w:sz w:val="24"/>
                <w:szCs w:val="24"/>
                <w:rtl/>
              </w:rPr>
            </w:pPr>
            <w:r>
              <w:rPr>
                <w:rFonts w:ascii="David" w:eastAsiaTheme="minorEastAsia" w:hAnsi="David" w:cs="David" w:hint="cs"/>
                <w:b/>
                <w:bCs/>
                <w:sz w:val="24"/>
                <w:szCs w:val="24"/>
                <w:rtl/>
              </w:rPr>
              <w:t>600</w:t>
            </w:r>
          </w:p>
        </w:tc>
        <w:tc>
          <w:tcPr>
            <w:tcW w:w="1095" w:type="dxa"/>
            <w:vAlign w:val="center"/>
          </w:tcPr>
          <w:p w:rsidR="007340B9" w:rsidRDefault="007340B9" w:rsidP="007340B9">
            <w:pPr>
              <w:spacing w:line="360" w:lineRule="auto"/>
              <w:rPr>
                <w:rFonts w:ascii="David" w:eastAsiaTheme="minorEastAsia" w:hAnsi="David" w:cs="David"/>
                <w:b/>
                <w:bCs/>
                <w:sz w:val="24"/>
                <w:szCs w:val="24"/>
                <w:rtl/>
              </w:rPr>
            </w:pPr>
            <w:r>
              <w:rPr>
                <w:rFonts w:ascii="David" w:eastAsiaTheme="minorEastAsia" w:hAnsi="David" w:cs="David" w:hint="cs"/>
                <w:b/>
                <w:bCs/>
                <w:sz w:val="24"/>
                <w:szCs w:val="24"/>
                <w:rtl/>
              </w:rPr>
              <w:t>0</w:t>
            </w:r>
          </w:p>
        </w:tc>
        <w:tc>
          <w:tcPr>
            <w:tcW w:w="0" w:type="auto"/>
            <w:vAlign w:val="center"/>
          </w:tcPr>
          <w:p w:rsidR="007340B9" w:rsidRDefault="00773583" w:rsidP="007340B9">
            <w:pPr>
              <w:spacing w:line="360" w:lineRule="auto"/>
              <w:rPr>
                <w:rFonts w:ascii="David" w:eastAsiaTheme="minorEastAsia" w:hAnsi="David" w:cs="David" w:hint="cs"/>
                <w:b/>
                <w:bCs/>
                <w:sz w:val="24"/>
                <w:szCs w:val="24"/>
                <w:rtl/>
              </w:rPr>
            </w:pPr>
            <w:r>
              <w:rPr>
                <w:rFonts w:ascii="David" w:eastAsiaTheme="minorEastAsia" w:hAnsi="David" w:cs="David" w:hint="cs"/>
                <w:b/>
                <w:bCs/>
                <w:sz w:val="24"/>
                <w:szCs w:val="24"/>
                <w:rtl/>
              </w:rPr>
              <w:t>300</w:t>
            </w:r>
          </w:p>
        </w:tc>
      </w:tr>
      <w:tr w:rsidR="007340B9" w:rsidTr="00136F21">
        <w:tc>
          <w:tcPr>
            <w:tcW w:w="1785" w:type="dxa"/>
            <w:vAlign w:val="center"/>
          </w:tcPr>
          <w:p w:rsidR="007340B9" w:rsidRDefault="007340B9" w:rsidP="007340B9">
            <w:pPr>
              <w:spacing w:line="360" w:lineRule="auto"/>
              <w:rPr>
                <w:rFonts w:ascii="David" w:eastAsiaTheme="minorEastAsia" w:hAnsi="David" w:cs="David" w:hint="cs"/>
                <w:b/>
                <w:bCs/>
                <w:sz w:val="24"/>
                <w:szCs w:val="24"/>
                <w:rtl/>
              </w:rPr>
            </w:pPr>
            <w:r>
              <w:rPr>
                <w:rFonts w:ascii="David" w:eastAsiaTheme="minorEastAsia" w:hAnsi="David" w:cs="David" w:hint="cs"/>
                <w:b/>
                <w:bCs/>
                <w:sz w:val="24"/>
                <w:szCs w:val="24"/>
                <w:rtl/>
              </w:rPr>
              <w:t>הפסדים שקוזזו</w:t>
            </w:r>
          </w:p>
        </w:tc>
        <w:tc>
          <w:tcPr>
            <w:tcW w:w="851" w:type="dxa"/>
            <w:vAlign w:val="center"/>
          </w:tcPr>
          <w:p w:rsidR="007340B9" w:rsidRDefault="007340B9" w:rsidP="007340B9">
            <w:pPr>
              <w:spacing w:line="360" w:lineRule="auto"/>
              <w:rPr>
                <w:rFonts w:ascii="David" w:eastAsiaTheme="minorEastAsia" w:hAnsi="David" w:cs="David"/>
                <w:b/>
                <w:bCs/>
                <w:sz w:val="24"/>
                <w:szCs w:val="24"/>
                <w:rtl/>
              </w:rPr>
            </w:pPr>
            <w:r>
              <w:rPr>
                <w:rFonts w:ascii="David" w:eastAsiaTheme="minorEastAsia" w:hAnsi="David" w:cs="David" w:hint="cs"/>
                <w:b/>
                <w:bCs/>
                <w:sz w:val="24"/>
                <w:szCs w:val="24"/>
                <w:rtl/>
              </w:rPr>
              <w:t>0</w:t>
            </w:r>
          </w:p>
        </w:tc>
        <w:tc>
          <w:tcPr>
            <w:tcW w:w="1559" w:type="dxa"/>
            <w:vAlign w:val="center"/>
          </w:tcPr>
          <w:p w:rsidR="007340B9" w:rsidRDefault="007340B9" w:rsidP="007340B9">
            <w:pPr>
              <w:spacing w:line="360" w:lineRule="auto"/>
              <w:rPr>
                <w:rFonts w:ascii="David" w:eastAsiaTheme="minorEastAsia" w:hAnsi="David" w:cs="David"/>
                <w:b/>
                <w:bCs/>
                <w:sz w:val="24"/>
                <w:szCs w:val="24"/>
                <w:rtl/>
              </w:rPr>
            </w:pPr>
            <w:r>
              <w:rPr>
                <w:rFonts w:ascii="David" w:eastAsiaTheme="minorEastAsia" w:hAnsi="David" w:cs="David" w:hint="cs"/>
                <w:b/>
                <w:bCs/>
                <w:sz w:val="24"/>
                <w:szCs w:val="24"/>
                <w:rtl/>
              </w:rPr>
              <w:t>500</w:t>
            </w:r>
          </w:p>
        </w:tc>
        <w:tc>
          <w:tcPr>
            <w:tcW w:w="1466" w:type="dxa"/>
            <w:vAlign w:val="center"/>
          </w:tcPr>
          <w:p w:rsidR="007340B9" w:rsidRDefault="007340B9" w:rsidP="007340B9">
            <w:pPr>
              <w:spacing w:line="360" w:lineRule="auto"/>
              <w:rPr>
                <w:rFonts w:ascii="David" w:eastAsiaTheme="minorEastAsia" w:hAnsi="David" w:cs="David"/>
                <w:b/>
                <w:bCs/>
                <w:sz w:val="24"/>
                <w:szCs w:val="24"/>
                <w:rtl/>
              </w:rPr>
            </w:pPr>
            <w:r>
              <w:rPr>
                <w:rFonts w:ascii="David" w:eastAsiaTheme="minorEastAsia" w:hAnsi="David" w:cs="David" w:hint="cs"/>
                <w:b/>
                <w:bCs/>
                <w:sz w:val="24"/>
                <w:szCs w:val="24"/>
                <w:rtl/>
              </w:rPr>
              <w:t>400</w:t>
            </w:r>
          </w:p>
        </w:tc>
        <w:tc>
          <w:tcPr>
            <w:tcW w:w="1095" w:type="dxa"/>
            <w:vAlign w:val="center"/>
          </w:tcPr>
          <w:p w:rsidR="007340B9" w:rsidRPr="007340B9" w:rsidRDefault="007340B9" w:rsidP="007340B9">
            <w:pPr>
              <w:spacing w:line="360" w:lineRule="auto"/>
              <w:rPr>
                <w:rFonts w:ascii="David" w:eastAsiaTheme="minorEastAsia" w:hAnsi="David" w:cs="David" w:hint="cs"/>
                <w:b/>
                <w:bCs/>
                <w:color w:val="FF0000"/>
                <w:sz w:val="24"/>
                <w:szCs w:val="24"/>
                <w:rtl/>
              </w:rPr>
            </w:pPr>
            <w:r w:rsidRPr="007340B9">
              <w:rPr>
                <w:rFonts w:ascii="David" w:eastAsiaTheme="minorEastAsia" w:hAnsi="David" w:cs="David" w:hint="cs"/>
                <w:b/>
                <w:bCs/>
                <w:color w:val="FF0000"/>
                <w:sz w:val="24"/>
                <w:szCs w:val="24"/>
                <w:rtl/>
              </w:rPr>
              <w:t>200</w:t>
            </w:r>
          </w:p>
        </w:tc>
        <w:tc>
          <w:tcPr>
            <w:tcW w:w="0" w:type="auto"/>
            <w:vAlign w:val="center"/>
          </w:tcPr>
          <w:p w:rsidR="007340B9" w:rsidRPr="00773583" w:rsidRDefault="00773583" w:rsidP="007340B9">
            <w:pPr>
              <w:spacing w:line="360" w:lineRule="auto"/>
              <w:rPr>
                <w:rFonts w:eastAsiaTheme="minorEastAsia" w:cs="David"/>
                <w:b/>
                <w:bCs/>
                <w:sz w:val="24"/>
                <w:szCs w:val="24"/>
              </w:rPr>
            </w:pPr>
            <w:r>
              <w:rPr>
                <w:rFonts w:eastAsiaTheme="minorEastAsia" w:cs="David"/>
                <w:b/>
                <w:bCs/>
                <w:sz w:val="24"/>
                <w:szCs w:val="24"/>
              </w:rPr>
              <w:t>500+</w:t>
            </w:r>
            <w:r>
              <w:rPr>
                <w:rFonts w:eastAsiaTheme="minorEastAsia" w:cs="David"/>
                <w:b/>
                <w:bCs/>
                <w:color w:val="FF0000"/>
                <w:sz w:val="24"/>
                <w:szCs w:val="24"/>
              </w:rPr>
              <w:t>200</w:t>
            </w:r>
            <w:r>
              <w:rPr>
                <w:rFonts w:eastAsiaTheme="minorEastAsia" w:cs="David"/>
                <w:b/>
                <w:bCs/>
                <w:sz w:val="24"/>
                <w:szCs w:val="24"/>
              </w:rPr>
              <w:t>=700</w:t>
            </w:r>
          </w:p>
        </w:tc>
      </w:tr>
      <w:tr w:rsidR="007340B9" w:rsidTr="00136F21">
        <w:tc>
          <w:tcPr>
            <w:tcW w:w="1785" w:type="dxa"/>
            <w:vAlign w:val="center"/>
          </w:tcPr>
          <w:p w:rsidR="007340B9" w:rsidRPr="007340B9" w:rsidRDefault="007340B9" w:rsidP="007340B9">
            <w:pPr>
              <w:spacing w:line="360" w:lineRule="auto"/>
              <w:rPr>
                <w:rFonts w:ascii="David" w:eastAsiaTheme="minorEastAsia" w:hAnsi="David" w:cs="David" w:hint="cs"/>
                <w:b/>
                <w:bCs/>
                <w:color w:val="FF0000"/>
                <w:sz w:val="24"/>
                <w:szCs w:val="24"/>
                <w:rtl/>
              </w:rPr>
            </w:pPr>
            <w:r w:rsidRPr="007340B9">
              <w:rPr>
                <w:rFonts w:ascii="David" w:eastAsiaTheme="minorEastAsia" w:hAnsi="David" w:cs="David" w:hint="cs"/>
                <w:b/>
                <w:bCs/>
                <w:sz w:val="24"/>
                <w:szCs w:val="24"/>
                <w:rtl/>
              </w:rPr>
              <w:t>הפסד נוסף</w:t>
            </w:r>
            <w:r w:rsidRPr="007340B9">
              <w:rPr>
                <w:rFonts w:ascii="David" w:eastAsiaTheme="minorEastAsia" w:hAnsi="David" w:cs="David" w:hint="cs"/>
                <w:b/>
                <w:bCs/>
                <w:color w:val="FF0000"/>
                <w:sz w:val="24"/>
                <w:szCs w:val="24"/>
                <w:rtl/>
              </w:rPr>
              <w:t xml:space="preserve"> </w:t>
            </w:r>
          </w:p>
        </w:tc>
        <w:tc>
          <w:tcPr>
            <w:tcW w:w="851" w:type="dxa"/>
            <w:vAlign w:val="center"/>
          </w:tcPr>
          <w:p w:rsidR="007340B9" w:rsidRPr="007340B9" w:rsidRDefault="007340B9" w:rsidP="007340B9">
            <w:pPr>
              <w:spacing w:line="360" w:lineRule="auto"/>
              <w:rPr>
                <w:rFonts w:ascii="David" w:eastAsiaTheme="minorEastAsia" w:hAnsi="David" w:cs="David"/>
                <w:color w:val="FF0000"/>
                <w:sz w:val="24"/>
                <w:szCs w:val="24"/>
                <w:rtl/>
              </w:rPr>
            </w:pPr>
            <w:r w:rsidRPr="007340B9">
              <w:rPr>
                <w:rFonts w:ascii="David" w:eastAsiaTheme="minorEastAsia" w:hAnsi="David" w:cs="David" w:hint="cs"/>
                <w:color w:val="FF0000"/>
                <w:sz w:val="24"/>
                <w:szCs w:val="24"/>
                <w:rtl/>
              </w:rPr>
              <w:t>300</w:t>
            </w:r>
          </w:p>
        </w:tc>
        <w:tc>
          <w:tcPr>
            <w:tcW w:w="1559" w:type="dxa"/>
            <w:vAlign w:val="center"/>
          </w:tcPr>
          <w:p w:rsidR="007340B9" w:rsidRPr="007340B9" w:rsidRDefault="007340B9" w:rsidP="007340B9">
            <w:pPr>
              <w:spacing w:line="360" w:lineRule="auto"/>
              <w:rPr>
                <w:rFonts w:ascii="David" w:eastAsiaTheme="minorEastAsia" w:hAnsi="David" w:cs="David"/>
                <w:color w:val="FF0000"/>
                <w:sz w:val="24"/>
                <w:szCs w:val="24"/>
                <w:rtl/>
              </w:rPr>
            </w:pPr>
            <w:r w:rsidRPr="007340B9">
              <w:rPr>
                <w:rFonts w:ascii="David" w:eastAsiaTheme="minorEastAsia" w:hAnsi="David" w:cs="David" w:hint="cs"/>
                <w:color w:val="FF0000"/>
                <w:sz w:val="24"/>
                <w:szCs w:val="24"/>
                <w:rtl/>
              </w:rPr>
              <w:t>100</w:t>
            </w:r>
          </w:p>
        </w:tc>
        <w:tc>
          <w:tcPr>
            <w:tcW w:w="1466" w:type="dxa"/>
            <w:vAlign w:val="center"/>
          </w:tcPr>
          <w:p w:rsidR="007340B9" w:rsidRPr="007340B9" w:rsidRDefault="007340B9" w:rsidP="007340B9">
            <w:pPr>
              <w:spacing w:line="360" w:lineRule="auto"/>
              <w:rPr>
                <w:rFonts w:ascii="David" w:eastAsiaTheme="minorEastAsia" w:hAnsi="David" w:cs="David"/>
                <w:color w:val="FF0000"/>
                <w:sz w:val="24"/>
                <w:szCs w:val="24"/>
                <w:rtl/>
              </w:rPr>
            </w:pPr>
            <w:r>
              <w:rPr>
                <w:rFonts w:ascii="David" w:eastAsiaTheme="minorEastAsia" w:hAnsi="David" w:cs="David" w:hint="cs"/>
                <w:color w:val="FF0000"/>
                <w:sz w:val="24"/>
                <w:szCs w:val="24"/>
                <w:rtl/>
              </w:rPr>
              <w:t>---</w:t>
            </w:r>
          </w:p>
        </w:tc>
        <w:tc>
          <w:tcPr>
            <w:tcW w:w="1095" w:type="dxa"/>
            <w:vAlign w:val="center"/>
          </w:tcPr>
          <w:p w:rsidR="007340B9" w:rsidRPr="007340B9" w:rsidRDefault="007340B9" w:rsidP="007340B9">
            <w:pPr>
              <w:spacing w:line="360" w:lineRule="auto"/>
              <w:rPr>
                <w:rFonts w:eastAsiaTheme="minorEastAsia" w:cs="David"/>
                <w:sz w:val="24"/>
                <w:szCs w:val="24"/>
              </w:rPr>
            </w:pPr>
            <w:r>
              <w:rPr>
                <w:rFonts w:eastAsiaTheme="minorEastAsia" w:cs="David"/>
                <w:color w:val="FF0000"/>
                <w:sz w:val="24"/>
                <w:szCs w:val="24"/>
              </w:rPr>
              <w:t>300</w:t>
            </w:r>
          </w:p>
        </w:tc>
        <w:tc>
          <w:tcPr>
            <w:tcW w:w="0" w:type="auto"/>
            <w:vAlign w:val="center"/>
          </w:tcPr>
          <w:p w:rsidR="007340B9" w:rsidRPr="007340B9" w:rsidRDefault="00773583" w:rsidP="007340B9">
            <w:pPr>
              <w:spacing w:line="360" w:lineRule="auto"/>
              <w:rPr>
                <w:rFonts w:ascii="David" w:eastAsiaTheme="minorEastAsia" w:hAnsi="David" w:cs="David" w:hint="cs"/>
                <w:color w:val="FF0000"/>
                <w:sz w:val="24"/>
                <w:szCs w:val="24"/>
                <w:rtl/>
              </w:rPr>
            </w:pPr>
            <w:r>
              <w:rPr>
                <w:rFonts w:ascii="David" w:eastAsiaTheme="minorEastAsia" w:hAnsi="David" w:cs="David" w:hint="cs"/>
                <w:color w:val="FF0000"/>
                <w:sz w:val="24"/>
                <w:szCs w:val="24"/>
                <w:rtl/>
              </w:rPr>
              <w:t>100</w:t>
            </w:r>
          </w:p>
        </w:tc>
      </w:tr>
    </w:tbl>
    <w:p w:rsidR="007340B9" w:rsidRPr="007340B9" w:rsidRDefault="007340B9" w:rsidP="007340B9">
      <w:pPr>
        <w:spacing w:line="360" w:lineRule="auto"/>
        <w:jc w:val="both"/>
        <w:rPr>
          <w:rFonts w:ascii="David" w:eastAsiaTheme="minorEastAsia" w:hAnsi="David" w:cs="David"/>
          <w:b/>
          <w:bCs/>
          <w:sz w:val="24"/>
          <w:szCs w:val="24"/>
          <w:rtl/>
        </w:rPr>
      </w:pPr>
      <w:bookmarkStart w:id="0" w:name="_GoBack"/>
      <w:bookmarkEnd w:id="0"/>
    </w:p>
    <w:sectPr w:rsidR="007340B9" w:rsidRPr="007340B9" w:rsidSect="00EA5EB3">
      <w:headerReference w:type="default" r:id="rId8"/>
      <w:footerReference w:type="default" r:id="rId9"/>
      <w:pgSz w:w="11906" w:h="16838"/>
      <w:pgMar w:top="1440" w:right="1800" w:bottom="1440" w:left="1800" w:header="708" w:footer="708" w:gutter="0"/>
      <w:pgNumType w:start="1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18C" w:rsidRDefault="0062718C" w:rsidP="00F172F9">
      <w:pPr>
        <w:spacing w:after="0" w:line="240" w:lineRule="auto"/>
      </w:pPr>
      <w:r>
        <w:separator/>
      </w:r>
    </w:p>
  </w:endnote>
  <w:endnote w:type="continuationSeparator" w:id="0">
    <w:p w:rsidR="0062718C" w:rsidRDefault="0062718C"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067034" w:rsidRDefault="00067034">
        <w:pPr>
          <w:pStyle w:val="a5"/>
          <w:jc w:val="center"/>
          <w:rPr>
            <w:rtl/>
            <w:cs/>
          </w:rPr>
        </w:pPr>
        <w:r>
          <w:fldChar w:fldCharType="begin"/>
        </w:r>
        <w:r>
          <w:rPr>
            <w:rtl/>
            <w:cs/>
          </w:rPr>
          <w:instrText>PAGE   \* MERGEFORMAT</w:instrText>
        </w:r>
        <w:r>
          <w:fldChar w:fldCharType="separate"/>
        </w:r>
        <w:r w:rsidR="00136F21" w:rsidRPr="00136F21">
          <w:rPr>
            <w:noProof/>
            <w:rtl/>
            <w:lang w:val="he-IL"/>
          </w:rPr>
          <w:t>21</w:t>
        </w:r>
        <w:r>
          <w:fldChar w:fldCharType="end"/>
        </w:r>
      </w:p>
    </w:sdtContent>
  </w:sdt>
  <w:p w:rsidR="00067034" w:rsidRDefault="000670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18C" w:rsidRDefault="0062718C" w:rsidP="00F172F9">
      <w:pPr>
        <w:spacing w:after="0" w:line="240" w:lineRule="auto"/>
      </w:pPr>
      <w:r>
        <w:separator/>
      </w:r>
    </w:p>
  </w:footnote>
  <w:footnote w:type="continuationSeparator" w:id="0">
    <w:p w:rsidR="0062718C" w:rsidRDefault="0062718C"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34" w:rsidRPr="00F172F9" w:rsidRDefault="00067034" w:rsidP="009B295E">
    <w:pPr>
      <w:pStyle w:val="a3"/>
      <w:rPr>
        <w:rFonts w:cs="David"/>
        <w:sz w:val="24"/>
        <w:szCs w:val="24"/>
      </w:rPr>
    </w:pPr>
    <w:r w:rsidRPr="00F172F9">
      <w:rPr>
        <w:rFonts w:cs="David" w:hint="cs"/>
        <w:sz w:val="24"/>
        <w:szCs w:val="24"/>
        <w:rtl/>
      </w:rPr>
      <w:t>בס"ד</w:t>
    </w:r>
    <w:r w:rsidRPr="000E635D">
      <w:rPr>
        <w:rFonts w:cs="David"/>
        <w:color w:val="92D050"/>
        <w:sz w:val="24"/>
        <w:szCs w:val="24"/>
        <w:rtl/>
      </w:rPr>
      <w:ptab w:relativeTo="margin" w:alignment="center" w:leader="none"/>
    </w:r>
    <w:r w:rsidRPr="000E635D">
      <w:rPr>
        <w:rFonts w:cs="David" w:hint="cs"/>
        <w:color w:val="92D050"/>
        <w:sz w:val="24"/>
        <w:szCs w:val="24"/>
        <w:rtl/>
      </w:rPr>
      <w:t>© כל הזכויות שמורות לרחל ישר נא לא להעביר</w:t>
    </w:r>
    <w:r w:rsidRPr="00F172F9">
      <w:rPr>
        <w:rFonts w:cs="David"/>
        <w:sz w:val="24"/>
        <w:szCs w:val="24"/>
        <w:rtl/>
      </w:rPr>
      <w:ptab w:relativeTo="margin" w:alignment="right" w:leader="none"/>
    </w:r>
    <w:r w:rsidR="00EA5EB3">
      <w:rPr>
        <w:rFonts w:cs="David" w:hint="cs"/>
        <w:sz w:val="24"/>
        <w:szCs w:val="24"/>
        <w:rtl/>
      </w:rPr>
      <w:t>03/03</w:t>
    </w:r>
    <w:r>
      <w:rPr>
        <w:rFonts w:cs="David" w:hint="cs"/>
        <w:sz w:val="24"/>
        <w:szCs w:val="24"/>
        <w:rtl/>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61212"/>
    <w:multiLevelType w:val="hybridMultilevel"/>
    <w:tmpl w:val="033ED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D93537"/>
    <w:multiLevelType w:val="hybridMultilevel"/>
    <w:tmpl w:val="D4E28CDC"/>
    <w:lvl w:ilvl="0" w:tplc="77B4C032">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0A70FCA"/>
    <w:multiLevelType w:val="hybridMultilevel"/>
    <w:tmpl w:val="54E44514"/>
    <w:lvl w:ilvl="0" w:tplc="07B87C06">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22F44"/>
    <w:multiLevelType w:val="hybridMultilevel"/>
    <w:tmpl w:val="367C86F6"/>
    <w:lvl w:ilvl="0" w:tplc="56D0F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C670B"/>
    <w:multiLevelType w:val="hybridMultilevel"/>
    <w:tmpl w:val="AEFA518A"/>
    <w:lvl w:ilvl="0" w:tplc="54A24C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45DE3"/>
    <w:multiLevelType w:val="hybridMultilevel"/>
    <w:tmpl w:val="BC50E6E8"/>
    <w:lvl w:ilvl="0" w:tplc="2F0084F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4BA56EB"/>
    <w:multiLevelType w:val="hybridMultilevel"/>
    <w:tmpl w:val="4C5AA158"/>
    <w:lvl w:ilvl="0" w:tplc="AC0A8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A332F"/>
    <w:multiLevelType w:val="hybridMultilevel"/>
    <w:tmpl w:val="5D3C1F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A804936"/>
    <w:multiLevelType w:val="hybridMultilevel"/>
    <w:tmpl w:val="E22C75EC"/>
    <w:lvl w:ilvl="0" w:tplc="273C71EE">
      <w:start w:val="1"/>
      <w:numFmt w:val="hebrew1"/>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970368"/>
    <w:multiLevelType w:val="hybridMultilevel"/>
    <w:tmpl w:val="54EEA250"/>
    <w:lvl w:ilvl="0" w:tplc="F8D2311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19643C"/>
    <w:multiLevelType w:val="hybridMultilevel"/>
    <w:tmpl w:val="A23AF71E"/>
    <w:lvl w:ilvl="0" w:tplc="FC98D5EE">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9C4103A"/>
    <w:multiLevelType w:val="hybridMultilevel"/>
    <w:tmpl w:val="69507E84"/>
    <w:lvl w:ilvl="0" w:tplc="9DF09C44">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AFE1777"/>
    <w:multiLevelType w:val="hybridMultilevel"/>
    <w:tmpl w:val="CD98C058"/>
    <w:lvl w:ilvl="0" w:tplc="66BA5B80">
      <w:start w:val="1"/>
      <w:numFmt w:val="hebrew1"/>
      <w:lvlText w:val="%1."/>
      <w:lvlJc w:val="left"/>
      <w:pPr>
        <w:ind w:left="720" w:hanging="360"/>
      </w:pPr>
      <w:rPr>
        <w:rFonts w:ascii="David" w:eastAsiaTheme="minorEastAsia" w:hAnsi="David" w:cs="Davi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2192094"/>
    <w:multiLevelType w:val="hybridMultilevel"/>
    <w:tmpl w:val="7A524124"/>
    <w:lvl w:ilvl="0" w:tplc="EC60ADA0">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32367A52"/>
    <w:multiLevelType w:val="hybridMultilevel"/>
    <w:tmpl w:val="D38C1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B415E8"/>
    <w:multiLevelType w:val="hybridMultilevel"/>
    <w:tmpl w:val="E0A00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E9758CD"/>
    <w:multiLevelType w:val="hybridMultilevel"/>
    <w:tmpl w:val="2EC4A57E"/>
    <w:lvl w:ilvl="0" w:tplc="6B982934">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272A9A"/>
    <w:multiLevelType w:val="hybridMultilevel"/>
    <w:tmpl w:val="D47C5620"/>
    <w:lvl w:ilvl="0" w:tplc="F86498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42EC27D7"/>
    <w:multiLevelType w:val="hybridMultilevel"/>
    <w:tmpl w:val="63506982"/>
    <w:lvl w:ilvl="0" w:tplc="9634E582">
      <w:start w:val="200"/>
      <w:numFmt w:val="hebrew1"/>
      <w:lvlText w:val="%1."/>
      <w:lvlJc w:val="left"/>
      <w:pPr>
        <w:ind w:left="1738" w:hanging="360"/>
      </w:pPr>
      <w:rPr>
        <w:rFonts w:hint="default"/>
      </w:rPr>
    </w:lvl>
    <w:lvl w:ilvl="1" w:tplc="04090019" w:tentative="1">
      <w:start w:val="1"/>
      <w:numFmt w:val="lowerLetter"/>
      <w:lvlText w:val="%2."/>
      <w:lvlJc w:val="left"/>
      <w:pPr>
        <w:ind w:left="2458" w:hanging="360"/>
      </w:pPr>
    </w:lvl>
    <w:lvl w:ilvl="2" w:tplc="0409001B" w:tentative="1">
      <w:start w:val="1"/>
      <w:numFmt w:val="lowerRoman"/>
      <w:lvlText w:val="%3."/>
      <w:lvlJc w:val="right"/>
      <w:pPr>
        <w:ind w:left="3178" w:hanging="180"/>
      </w:pPr>
    </w:lvl>
    <w:lvl w:ilvl="3" w:tplc="0409000F" w:tentative="1">
      <w:start w:val="1"/>
      <w:numFmt w:val="decimal"/>
      <w:lvlText w:val="%4."/>
      <w:lvlJc w:val="left"/>
      <w:pPr>
        <w:ind w:left="3898" w:hanging="360"/>
      </w:pPr>
    </w:lvl>
    <w:lvl w:ilvl="4" w:tplc="04090019" w:tentative="1">
      <w:start w:val="1"/>
      <w:numFmt w:val="lowerLetter"/>
      <w:lvlText w:val="%5."/>
      <w:lvlJc w:val="left"/>
      <w:pPr>
        <w:ind w:left="4618" w:hanging="360"/>
      </w:pPr>
    </w:lvl>
    <w:lvl w:ilvl="5" w:tplc="0409001B" w:tentative="1">
      <w:start w:val="1"/>
      <w:numFmt w:val="lowerRoman"/>
      <w:lvlText w:val="%6."/>
      <w:lvlJc w:val="right"/>
      <w:pPr>
        <w:ind w:left="5338" w:hanging="180"/>
      </w:pPr>
    </w:lvl>
    <w:lvl w:ilvl="6" w:tplc="0409000F" w:tentative="1">
      <w:start w:val="1"/>
      <w:numFmt w:val="decimal"/>
      <w:lvlText w:val="%7."/>
      <w:lvlJc w:val="left"/>
      <w:pPr>
        <w:ind w:left="6058" w:hanging="360"/>
      </w:pPr>
    </w:lvl>
    <w:lvl w:ilvl="7" w:tplc="04090019" w:tentative="1">
      <w:start w:val="1"/>
      <w:numFmt w:val="lowerLetter"/>
      <w:lvlText w:val="%8."/>
      <w:lvlJc w:val="left"/>
      <w:pPr>
        <w:ind w:left="6778" w:hanging="360"/>
      </w:pPr>
    </w:lvl>
    <w:lvl w:ilvl="8" w:tplc="0409001B" w:tentative="1">
      <w:start w:val="1"/>
      <w:numFmt w:val="lowerRoman"/>
      <w:lvlText w:val="%9."/>
      <w:lvlJc w:val="right"/>
      <w:pPr>
        <w:ind w:left="7498" w:hanging="180"/>
      </w:pPr>
    </w:lvl>
  </w:abstractNum>
  <w:abstractNum w:abstractNumId="19">
    <w:nsid w:val="493E0B5F"/>
    <w:multiLevelType w:val="hybridMultilevel"/>
    <w:tmpl w:val="9618A9D8"/>
    <w:lvl w:ilvl="0" w:tplc="73C00D4C">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4A916222"/>
    <w:multiLevelType w:val="hybridMultilevel"/>
    <w:tmpl w:val="F8289848"/>
    <w:lvl w:ilvl="0" w:tplc="91C6E820">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BC620A"/>
    <w:multiLevelType w:val="hybridMultilevel"/>
    <w:tmpl w:val="E806EB22"/>
    <w:lvl w:ilvl="0" w:tplc="5F6896F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9125C0"/>
    <w:multiLevelType w:val="hybridMultilevel"/>
    <w:tmpl w:val="D300431A"/>
    <w:lvl w:ilvl="0" w:tplc="45D6A14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EC4B9A"/>
    <w:multiLevelType w:val="hybridMultilevel"/>
    <w:tmpl w:val="F10A8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03E1878"/>
    <w:multiLevelType w:val="hybridMultilevel"/>
    <w:tmpl w:val="A63021E4"/>
    <w:lvl w:ilvl="0" w:tplc="277E8E60">
      <w:start w:val="1"/>
      <w:numFmt w:val="hebrew1"/>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9055BD"/>
    <w:multiLevelType w:val="hybridMultilevel"/>
    <w:tmpl w:val="D8805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2A30A66"/>
    <w:multiLevelType w:val="hybridMultilevel"/>
    <w:tmpl w:val="A70E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34360E"/>
    <w:multiLevelType w:val="hybridMultilevel"/>
    <w:tmpl w:val="B6AED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D106978"/>
    <w:multiLevelType w:val="hybridMultilevel"/>
    <w:tmpl w:val="4D6CB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B361EC"/>
    <w:multiLevelType w:val="hybridMultilevel"/>
    <w:tmpl w:val="355A2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1C1827"/>
    <w:multiLevelType w:val="hybridMultilevel"/>
    <w:tmpl w:val="CC2EAB40"/>
    <w:lvl w:ilvl="0" w:tplc="31A04F54">
      <w:start w:val="1"/>
      <w:numFmt w:val="hebrew1"/>
      <w:lvlText w:val="%1."/>
      <w:lvlJc w:val="left"/>
      <w:pPr>
        <w:ind w:left="1440" w:hanging="360"/>
      </w:pPr>
      <w:rPr>
        <w:rFonts w:asciiTheme="minorHAnsi" w:eastAsiaTheme="minorHAnsi" w:hAnsiTheme="minorHAnsi" w:cs="Davi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80D05A2"/>
    <w:multiLevelType w:val="hybridMultilevel"/>
    <w:tmpl w:val="D9F66BA6"/>
    <w:lvl w:ilvl="0" w:tplc="2EBC2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8434C2"/>
    <w:multiLevelType w:val="hybridMultilevel"/>
    <w:tmpl w:val="B9022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6336F4"/>
    <w:multiLevelType w:val="hybridMultilevel"/>
    <w:tmpl w:val="D1543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68D5F2E"/>
    <w:multiLevelType w:val="hybridMultilevel"/>
    <w:tmpl w:val="F8521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E9161FB"/>
    <w:multiLevelType w:val="hybridMultilevel"/>
    <w:tmpl w:val="3FCCE2A0"/>
    <w:lvl w:ilvl="0" w:tplc="5742EB52">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7ED05825"/>
    <w:multiLevelType w:val="hybridMultilevel"/>
    <w:tmpl w:val="26E210A6"/>
    <w:lvl w:ilvl="0" w:tplc="F59646B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F640457"/>
    <w:multiLevelType w:val="hybridMultilevel"/>
    <w:tmpl w:val="6C8E147C"/>
    <w:lvl w:ilvl="0" w:tplc="19B0C022">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nsid w:val="7FB521BC"/>
    <w:multiLevelType w:val="hybridMultilevel"/>
    <w:tmpl w:val="06FC340E"/>
    <w:lvl w:ilvl="0" w:tplc="3CB8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1"/>
  </w:num>
  <w:num w:numId="3">
    <w:abstractNumId w:val="30"/>
  </w:num>
  <w:num w:numId="4">
    <w:abstractNumId w:val="4"/>
  </w:num>
  <w:num w:numId="5">
    <w:abstractNumId w:val="32"/>
  </w:num>
  <w:num w:numId="6">
    <w:abstractNumId w:val="29"/>
  </w:num>
  <w:num w:numId="7">
    <w:abstractNumId w:val="28"/>
  </w:num>
  <w:num w:numId="8">
    <w:abstractNumId w:val="26"/>
  </w:num>
  <w:num w:numId="9">
    <w:abstractNumId w:val="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1"/>
  </w:num>
  <w:num w:numId="31">
    <w:abstractNumId w:val="19"/>
  </w:num>
  <w:num w:numId="32">
    <w:abstractNumId w:val="0"/>
  </w:num>
  <w:num w:numId="33">
    <w:abstractNumId w:val="8"/>
  </w:num>
  <w:num w:numId="34">
    <w:abstractNumId w:val="18"/>
  </w:num>
  <w:num w:numId="35">
    <w:abstractNumId w:val="14"/>
  </w:num>
  <w:num w:numId="36">
    <w:abstractNumId w:val="22"/>
  </w:num>
  <w:num w:numId="37">
    <w:abstractNumId w:val="20"/>
  </w:num>
  <w:num w:numId="38">
    <w:abstractNumId w:val="16"/>
  </w:num>
  <w:num w:numId="39">
    <w:abstractNumId w:val="38"/>
  </w:num>
  <w:num w:numId="40">
    <w:abstractNumId w:val="6"/>
  </w:num>
  <w:num w:numId="41">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16D25"/>
    <w:rsid w:val="00032862"/>
    <w:rsid w:val="0003559A"/>
    <w:rsid w:val="000363BD"/>
    <w:rsid w:val="0005138C"/>
    <w:rsid w:val="00057726"/>
    <w:rsid w:val="00064426"/>
    <w:rsid w:val="00067034"/>
    <w:rsid w:val="000711EB"/>
    <w:rsid w:val="00074CE5"/>
    <w:rsid w:val="000836E1"/>
    <w:rsid w:val="00086534"/>
    <w:rsid w:val="000945A1"/>
    <w:rsid w:val="000A25BC"/>
    <w:rsid w:val="000B0A06"/>
    <w:rsid w:val="000C04AC"/>
    <w:rsid w:val="000E0AF4"/>
    <w:rsid w:val="000E2361"/>
    <w:rsid w:val="000E2818"/>
    <w:rsid w:val="000E2846"/>
    <w:rsid w:val="000E2D7F"/>
    <w:rsid w:val="000E635D"/>
    <w:rsid w:val="000F0A4E"/>
    <w:rsid w:val="000F5666"/>
    <w:rsid w:val="001040B2"/>
    <w:rsid w:val="00105D60"/>
    <w:rsid w:val="00110927"/>
    <w:rsid w:val="001149FD"/>
    <w:rsid w:val="00136F21"/>
    <w:rsid w:val="00141690"/>
    <w:rsid w:val="00141C1F"/>
    <w:rsid w:val="00142423"/>
    <w:rsid w:val="001528B5"/>
    <w:rsid w:val="001732EE"/>
    <w:rsid w:val="001750C2"/>
    <w:rsid w:val="00177F4F"/>
    <w:rsid w:val="00181A5B"/>
    <w:rsid w:val="001822E1"/>
    <w:rsid w:val="00191DBE"/>
    <w:rsid w:val="001C767B"/>
    <w:rsid w:val="001E6DAB"/>
    <w:rsid w:val="001F380B"/>
    <w:rsid w:val="00216E13"/>
    <w:rsid w:val="002540A4"/>
    <w:rsid w:val="00255E31"/>
    <w:rsid w:val="00273D67"/>
    <w:rsid w:val="00291642"/>
    <w:rsid w:val="00296691"/>
    <w:rsid w:val="002F0F21"/>
    <w:rsid w:val="002F42B7"/>
    <w:rsid w:val="00300BD0"/>
    <w:rsid w:val="003202F6"/>
    <w:rsid w:val="00327B3D"/>
    <w:rsid w:val="00357D7E"/>
    <w:rsid w:val="00364AAF"/>
    <w:rsid w:val="0036592B"/>
    <w:rsid w:val="003701A4"/>
    <w:rsid w:val="0037079A"/>
    <w:rsid w:val="003716B5"/>
    <w:rsid w:val="003A4E5D"/>
    <w:rsid w:val="003B16E1"/>
    <w:rsid w:val="003E11E4"/>
    <w:rsid w:val="003F00CA"/>
    <w:rsid w:val="00431510"/>
    <w:rsid w:val="00441C02"/>
    <w:rsid w:val="00447CBD"/>
    <w:rsid w:val="00455E77"/>
    <w:rsid w:val="00477285"/>
    <w:rsid w:val="004A1D72"/>
    <w:rsid w:val="004B6D28"/>
    <w:rsid w:val="004B7889"/>
    <w:rsid w:val="004D1A4F"/>
    <w:rsid w:val="004E653C"/>
    <w:rsid w:val="004F370E"/>
    <w:rsid w:val="005053DB"/>
    <w:rsid w:val="005071DC"/>
    <w:rsid w:val="00507D74"/>
    <w:rsid w:val="0052484C"/>
    <w:rsid w:val="00526E39"/>
    <w:rsid w:val="00527EA3"/>
    <w:rsid w:val="00536E47"/>
    <w:rsid w:val="00552BEB"/>
    <w:rsid w:val="00583630"/>
    <w:rsid w:val="005A7E0C"/>
    <w:rsid w:val="005B1FE5"/>
    <w:rsid w:val="005C14D9"/>
    <w:rsid w:val="005D2079"/>
    <w:rsid w:val="005F7FCF"/>
    <w:rsid w:val="00613AFB"/>
    <w:rsid w:val="006154DB"/>
    <w:rsid w:val="0062718C"/>
    <w:rsid w:val="0063276A"/>
    <w:rsid w:val="006414F2"/>
    <w:rsid w:val="00644924"/>
    <w:rsid w:val="0065582D"/>
    <w:rsid w:val="006575E9"/>
    <w:rsid w:val="00664FBA"/>
    <w:rsid w:val="00671A58"/>
    <w:rsid w:val="0067567C"/>
    <w:rsid w:val="00693015"/>
    <w:rsid w:val="006A12B0"/>
    <w:rsid w:val="006A1EB0"/>
    <w:rsid w:val="006A45C1"/>
    <w:rsid w:val="006C64D2"/>
    <w:rsid w:val="006D24A4"/>
    <w:rsid w:val="006F096A"/>
    <w:rsid w:val="006F2E48"/>
    <w:rsid w:val="006F5E4B"/>
    <w:rsid w:val="00702A1C"/>
    <w:rsid w:val="00705FCC"/>
    <w:rsid w:val="007073C1"/>
    <w:rsid w:val="00725398"/>
    <w:rsid w:val="00725A43"/>
    <w:rsid w:val="00730C72"/>
    <w:rsid w:val="007340B9"/>
    <w:rsid w:val="0074281D"/>
    <w:rsid w:val="00746D2D"/>
    <w:rsid w:val="00755965"/>
    <w:rsid w:val="00761698"/>
    <w:rsid w:val="0077222F"/>
    <w:rsid w:val="00773583"/>
    <w:rsid w:val="00777F80"/>
    <w:rsid w:val="007A4CDA"/>
    <w:rsid w:val="007C61DA"/>
    <w:rsid w:val="007D2808"/>
    <w:rsid w:val="007F7F49"/>
    <w:rsid w:val="008229E1"/>
    <w:rsid w:val="00834C62"/>
    <w:rsid w:val="008630BF"/>
    <w:rsid w:val="00892E3F"/>
    <w:rsid w:val="008954AF"/>
    <w:rsid w:val="008A22CD"/>
    <w:rsid w:val="008B5CC5"/>
    <w:rsid w:val="008C369A"/>
    <w:rsid w:val="0093791D"/>
    <w:rsid w:val="00944800"/>
    <w:rsid w:val="00953E39"/>
    <w:rsid w:val="00960595"/>
    <w:rsid w:val="00974906"/>
    <w:rsid w:val="00977C3F"/>
    <w:rsid w:val="00984DD0"/>
    <w:rsid w:val="009930E5"/>
    <w:rsid w:val="00993DC2"/>
    <w:rsid w:val="009949AD"/>
    <w:rsid w:val="009A22BC"/>
    <w:rsid w:val="009B043A"/>
    <w:rsid w:val="009B295E"/>
    <w:rsid w:val="009D043D"/>
    <w:rsid w:val="009D0B64"/>
    <w:rsid w:val="009F1AC4"/>
    <w:rsid w:val="009F6F0D"/>
    <w:rsid w:val="00A019EF"/>
    <w:rsid w:val="00A0488D"/>
    <w:rsid w:val="00A05321"/>
    <w:rsid w:val="00A066A1"/>
    <w:rsid w:val="00A41A5F"/>
    <w:rsid w:val="00A4372D"/>
    <w:rsid w:val="00A43C18"/>
    <w:rsid w:val="00A46DCF"/>
    <w:rsid w:val="00A721A2"/>
    <w:rsid w:val="00A844E8"/>
    <w:rsid w:val="00A91570"/>
    <w:rsid w:val="00AB0B99"/>
    <w:rsid w:val="00AB4C0D"/>
    <w:rsid w:val="00AD68B9"/>
    <w:rsid w:val="00AF37D1"/>
    <w:rsid w:val="00B011D3"/>
    <w:rsid w:val="00B07C2D"/>
    <w:rsid w:val="00B2055A"/>
    <w:rsid w:val="00B20785"/>
    <w:rsid w:val="00B244CE"/>
    <w:rsid w:val="00B31679"/>
    <w:rsid w:val="00B3167D"/>
    <w:rsid w:val="00B33C8C"/>
    <w:rsid w:val="00B76492"/>
    <w:rsid w:val="00B83888"/>
    <w:rsid w:val="00B91B0D"/>
    <w:rsid w:val="00BA54A5"/>
    <w:rsid w:val="00BA7637"/>
    <w:rsid w:val="00BB5DC0"/>
    <w:rsid w:val="00BD6DCF"/>
    <w:rsid w:val="00BD76B7"/>
    <w:rsid w:val="00BE4178"/>
    <w:rsid w:val="00C13690"/>
    <w:rsid w:val="00C161B9"/>
    <w:rsid w:val="00C16961"/>
    <w:rsid w:val="00C22681"/>
    <w:rsid w:val="00C243AD"/>
    <w:rsid w:val="00C517BF"/>
    <w:rsid w:val="00C531CD"/>
    <w:rsid w:val="00C57676"/>
    <w:rsid w:val="00C7584E"/>
    <w:rsid w:val="00C83BB4"/>
    <w:rsid w:val="00C94B0F"/>
    <w:rsid w:val="00C957B6"/>
    <w:rsid w:val="00CA78F9"/>
    <w:rsid w:val="00CA7CA4"/>
    <w:rsid w:val="00CC1BA0"/>
    <w:rsid w:val="00CE47B9"/>
    <w:rsid w:val="00CE4C14"/>
    <w:rsid w:val="00CF597C"/>
    <w:rsid w:val="00D0419F"/>
    <w:rsid w:val="00D154EF"/>
    <w:rsid w:val="00D16042"/>
    <w:rsid w:val="00D24CA0"/>
    <w:rsid w:val="00D26696"/>
    <w:rsid w:val="00D3167C"/>
    <w:rsid w:val="00D44F75"/>
    <w:rsid w:val="00D50990"/>
    <w:rsid w:val="00D54A48"/>
    <w:rsid w:val="00D62713"/>
    <w:rsid w:val="00D8578E"/>
    <w:rsid w:val="00DA091A"/>
    <w:rsid w:val="00DA3B20"/>
    <w:rsid w:val="00DC36EB"/>
    <w:rsid w:val="00DC3D9A"/>
    <w:rsid w:val="00DD74F9"/>
    <w:rsid w:val="00DE193C"/>
    <w:rsid w:val="00DF5A11"/>
    <w:rsid w:val="00E17F97"/>
    <w:rsid w:val="00E408D0"/>
    <w:rsid w:val="00E42A69"/>
    <w:rsid w:val="00E43EE9"/>
    <w:rsid w:val="00E45731"/>
    <w:rsid w:val="00E509B3"/>
    <w:rsid w:val="00E55D8E"/>
    <w:rsid w:val="00E61CD3"/>
    <w:rsid w:val="00E819FF"/>
    <w:rsid w:val="00E90188"/>
    <w:rsid w:val="00E91741"/>
    <w:rsid w:val="00EA2D9B"/>
    <w:rsid w:val="00EA5EB3"/>
    <w:rsid w:val="00ED193C"/>
    <w:rsid w:val="00ED2B51"/>
    <w:rsid w:val="00F13610"/>
    <w:rsid w:val="00F172F9"/>
    <w:rsid w:val="00F263B2"/>
    <w:rsid w:val="00F37D01"/>
    <w:rsid w:val="00F418E1"/>
    <w:rsid w:val="00F45808"/>
    <w:rsid w:val="00F47B0F"/>
    <w:rsid w:val="00F624A4"/>
    <w:rsid w:val="00F64CAB"/>
    <w:rsid w:val="00F81D7C"/>
    <w:rsid w:val="00F8514F"/>
    <w:rsid w:val="00F85C08"/>
    <w:rsid w:val="00F943F7"/>
    <w:rsid w:val="00F95D4D"/>
    <w:rsid w:val="00FB0E02"/>
    <w:rsid w:val="00FB77CA"/>
    <w:rsid w:val="00FC6956"/>
    <w:rsid w:val="00FE7BE3"/>
    <w:rsid w:val="00FF2A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6B3978-7CCC-4AB4-BCF0-F1AEC4BC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A69"/>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746144">
      <w:bodyDiv w:val="1"/>
      <w:marLeft w:val="0"/>
      <w:marRight w:val="0"/>
      <w:marTop w:val="0"/>
      <w:marBottom w:val="0"/>
      <w:divBdr>
        <w:top w:val="none" w:sz="0" w:space="0" w:color="auto"/>
        <w:left w:val="none" w:sz="0" w:space="0" w:color="auto"/>
        <w:bottom w:val="none" w:sz="0" w:space="0" w:color="auto"/>
        <w:right w:val="none" w:sz="0" w:space="0" w:color="auto"/>
      </w:divBdr>
    </w:div>
    <w:div w:id="568541533">
      <w:bodyDiv w:val="1"/>
      <w:marLeft w:val="0"/>
      <w:marRight w:val="0"/>
      <w:marTop w:val="0"/>
      <w:marBottom w:val="0"/>
      <w:divBdr>
        <w:top w:val="none" w:sz="0" w:space="0" w:color="auto"/>
        <w:left w:val="none" w:sz="0" w:space="0" w:color="auto"/>
        <w:bottom w:val="none" w:sz="0" w:space="0" w:color="auto"/>
        <w:right w:val="none" w:sz="0" w:space="0" w:color="auto"/>
      </w:divBdr>
      <w:divsChild>
        <w:div w:id="1504978477">
          <w:marLeft w:val="0"/>
          <w:marRight w:val="547"/>
          <w:marTop w:val="0"/>
          <w:marBottom w:val="0"/>
          <w:divBdr>
            <w:top w:val="none" w:sz="0" w:space="0" w:color="auto"/>
            <w:left w:val="none" w:sz="0" w:space="0" w:color="auto"/>
            <w:bottom w:val="none" w:sz="0" w:space="0" w:color="auto"/>
            <w:right w:val="none" w:sz="0" w:space="0" w:color="auto"/>
          </w:divBdr>
        </w:div>
      </w:divsChild>
    </w:div>
    <w:div w:id="1181580548">
      <w:bodyDiv w:val="1"/>
      <w:marLeft w:val="0"/>
      <w:marRight w:val="0"/>
      <w:marTop w:val="0"/>
      <w:marBottom w:val="0"/>
      <w:divBdr>
        <w:top w:val="none" w:sz="0" w:space="0" w:color="auto"/>
        <w:left w:val="none" w:sz="0" w:space="0" w:color="auto"/>
        <w:bottom w:val="none" w:sz="0" w:space="0" w:color="auto"/>
        <w:right w:val="none" w:sz="0" w:space="0" w:color="auto"/>
      </w:divBdr>
      <w:divsChild>
        <w:div w:id="1260527103">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48717-9F23-49A3-A3B4-6CBD4797D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1</Pages>
  <Words>749</Words>
  <Characters>3750</Characters>
  <Application>Microsoft Office Word</Application>
  <DocSecurity>0</DocSecurity>
  <Lines>31</Lines>
  <Paragraphs>8</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רחל</dc:creator>
  <cp:lastModifiedBy>רחל</cp:lastModifiedBy>
  <cp:revision>9</cp:revision>
  <dcterms:created xsi:type="dcterms:W3CDTF">2014-03-03T15:14:00Z</dcterms:created>
  <dcterms:modified xsi:type="dcterms:W3CDTF">2014-03-04T13:51:00Z</dcterms:modified>
</cp:coreProperties>
</file>