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254" w:rsidRDefault="009B295E" w:rsidP="00604254">
      <w:pPr>
        <w:spacing w:line="360" w:lineRule="auto"/>
        <w:jc w:val="center"/>
        <w:rPr>
          <w:rFonts w:cs="David"/>
          <w:b/>
          <w:bCs/>
          <w:sz w:val="24"/>
          <w:szCs w:val="24"/>
          <w:u w:val="single"/>
          <w:rtl/>
        </w:rPr>
      </w:pPr>
      <w:r w:rsidRPr="007073C1">
        <w:rPr>
          <w:rFonts w:cs="David" w:hint="cs"/>
          <w:b/>
          <w:bCs/>
          <w:sz w:val="24"/>
          <w:szCs w:val="24"/>
          <w:u w:val="single"/>
          <w:rtl/>
        </w:rPr>
        <w:t>מיסים למתקדמים א</w:t>
      </w:r>
      <w:r w:rsidR="00B83888" w:rsidRPr="007073C1">
        <w:rPr>
          <w:rFonts w:cs="David" w:hint="cs"/>
          <w:b/>
          <w:bCs/>
          <w:sz w:val="24"/>
          <w:szCs w:val="24"/>
          <w:u w:val="single"/>
          <w:rtl/>
        </w:rPr>
        <w:t xml:space="preserve">' </w:t>
      </w:r>
      <w:r w:rsidR="00B83888" w:rsidRPr="007073C1">
        <w:rPr>
          <w:rFonts w:cs="David"/>
          <w:b/>
          <w:bCs/>
          <w:sz w:val="24"/>
          <w:szCs w:val="24"/>
          <w:u w:val="single"/>
          <w:rtl/>
        </w:rPr>
        <w:t>–</w:t>
      </w:r>
      <w:r w:rsidR="0042093B">
        <w:rPr>
          <w:rFonts w:cs="David" w:hint="cs"/>
          <w:b/>
          <w:bCs/>
          <w:sz w:val="24"/>
          <w:szCs w:val="24"/>
          <w:u w:val="single"/>
          <w:rtl/>
        </w:rPr>
        <w:t xml:space="preserve"> שיע</w:t>
      </w:r>
      <w:r w:rsidR="00604254">
        <w:rPr>
          <w:rFonts w:cs="David" w:hint="cs"/>
          <w:b/>
          <w:bCs/>
          <w:sz w:val="24"/>
          <w:szCs w:val="24"/>
          <w:u w:val="single"/>
          <w:rtl/>
        </w:rPr>
        <w:t>ור 6</w:t>
      </w:r>
    </w:p>
    <w:p w:rsidR="00604254" w:rsidRDefault="00604254" w:rsidP="00604254">
      <w:pPr>
        <w:spacing w:line="360" w:lineRule="auto"/>
        <w:rPr>
          <w:rFonts w:cs="David"/>
          <w:b/>
          <w:bCs/>
          <w:color w:val="FF0000"/>
          <w:sz w:val="24"/>
          <w:szCs w:val="24"/>
          <w:u w:val="single"/>
          <w:rtl/>
        </w:rPr>
      </w:pPr>
      <w:r w:rsidRPr="00604254">
        <w:rPr>
          <w:rFonts w:cs="David" w:hint="cs"/>
          <w:b/>
          <w:bCs/>
          <w:color w:val="FF0000"/>
          <w:sz w:val="24"/>
          <w:szCs w:val="24"/>
          <w:u w:val="single"/>
          <w:rtl/>
        </w:rPr>
        <w:t>שיעור 5 בדפים</w:t>
      </w:r>
    </w:p>
    <w:p w:rsidR="00604254" w:rsidRPr="00604254" w:rsidRDefault="00604254" w:rsidP="00604254">
      <w:pPr>
        <w:spacing w:line="360" w:lineRule="auto"/>
        <w:jc w:val="both"/>
        <w:rPr>
          <w:rFonts w:ascii="David" w:eastAsiaTheme="minorEastAsia" w:hAnsi="David" w:cs="David"/>
          <w:b/>
          <w:bCs/>
          <w:sz w:val="24"/>
          <w:szCs w:val="24"/>
          <w:u w:val="single"/>
          <w:rtl/>
        </w:rPr>
      </w:pPr>
      <w:r w:rsidRPr="00604254">
        <w:rPr>
          <w:rFonts w:ascii="David" w:eastAsiaTheme="minorEastAsia" w:hAnsi="David" w:cs="David" w:hint="cs"/>
          <w:b/>
          <w:bCs/>
          <w:sz w:val="24"/>
          <w:szCs w:val="24"/>
          <w:u w:val="single"/>
          <w:rtl/>
        </w:rPr>
        <w:t>מיסוי בינלאומי</w:t>
      </w:r>
    </w:p>
    <w:p w:rsidR="00604254" w:rsidRPr="00604254" w:rsidRDefault="00604254" w:rsidP="00604254">
      <w:pPr>
        <w:pStyle w:val="a7"/>
        <w:numPr>
          <w:ilvl w:val="0"/>
          <w:numId w:val="44"/>
        </w:numPr>
        <w:spacing w:line="360" w:lineRule="auto"/>
        <w:jc w:val="both"/>
        <w:rPr>
          <w:rFonts w:ascii="David" w:eastAsiaTheme="minorEastAsia" w:hAnsi="David" w:cs="David"/>
          <w:b/>
          <w:bCs/>
          <w:sz w:val="24"/>
          <w:szCs w:val="24"/>
        </w:rPr>
      </w:pPr>
      <w:r w:rsidRPr="00604254">
        <w:rPr>
          <w:rFonts w:ascii="David" w:eastAsiaTheme="minorEastAsia" w:hAnsi="David" w:cs="David" w:hint="cs"/>
          <w:b/>
          <w:bCs/>
          <w:sz w:val="24"/>
          <w:szCs w:val="24"/>
          <w:rtl/>
        </w:rPr>
        <w:t>אמנות מס</w:t>
      </w:r>
    </w:p>
    <w:p w:rsidR="00604254" w:rsidRPr="00604254" w:rsidRDefault="00604254" w:rsidP="00604254">
      <w:pPr>
        <w:pStyle w:val="a7"/>
        <w:numPr>
          <w:ilvl w:val="0"/>
          <w:numId w:val="44"/>
        </w:numPr>
        <w:spacing w:line="360" w:lineRule="auto"/>
        <w:jc w:val="both"/>
        <w:rPr>
          <w:rFonts w:ascii="David" w:eastAsiaTheme="minorEastAsia" w:hAnsi="David" w:cs="David"/>
          <w:b/>
          <w:bCs/>
          <w:sz w:val="24"/>
          <w:szCs w:val="24"/>
        </w:rPr>
      </w:pPr>
      <w:r w:rsidRPr="00604254">
        <w:rPr>
          <w:rFonts w:ascii="David" w:eastAsiaTheme="minorEastAsia" w:hAnsi="David" w:cs="David" w:hint="cs"/>
          <w:b/>
          <w:bCs/>
          <w:sz w:val="24"/>
          <w:szCs w:val="24"/>
          <w:rtl/>
        </w:rPr>
        <w:t>דין פנימי</w:t>
      </w:r>
    </w:p>
    <w:p w:rsidR="00604254" w:rsidRPr="00604254" w:rsidRDefault="00604254" w:rsidP="00604254">
      <w:pPr>
        <w:pStyle w:val="a7"/>
        <w:numPr>
          <w:ilvl w:val="0"/>
          <w:numId w:val="44"/>
        </w:numPr>
        <w:spacing w:line="360" w:lineRule="auto"/>
        <w:jc w:val="both"/>
        <w:rPr>
          <w:rFonts w:ascii="David" w:eastAsiaTheme="minorEastAsia" w:hAnsi="David" w:cs="David"/>
          <w:b/>
          <w:bCs/>
          <w:sz w:val="24"/>
          <w:szCs w:val="24"/>
        </w:rPr>
      </w:pPr>
      <w:r w:rsidRPr="00604254">
        <w:rPr>
          <w:rFonts w:ascii="David" w:eastAsiaTheme="minorEastAsia" w:hAnsi="David" w:cs="David" w:hint="cs"/>
          <w:b/>
          <w:bCs/>
          <w:sz w:val="24"/>
          <w:szCs w:val="24"/>
          <w:rtl/>
        </w:rPr>
        <w:t xml:space="preserve">זיכוי עקיף </w:t>
      </w:r>
    </w:p>
    <w:p w:rsidR="00604254" w:rsidRPr="00604254" w:rsidRDefault="00604254" w:rsidP="00604254">
      <w:pPr>
        <w:pStyle w:val="a7"/>
        <w:numPr>
          <w:ilvl w:val="0"/>
          <w:numId w:val="44"/>
        </w:numPr>
        <w:spacing w:line="360" w:lineRule="auto"/>
        <w:jc w:val="both"/>
        <w:rPr>
          <w:rFonts w:ascii="David" w:eastAsiaTheme="minorEastAsia" w:hAnsi="David" w:cs="David"/>
          <w:b/>
          <w:bCs/>
          <w:sz w:val="24"/>
          <w:szCs w:val="24"/>
        </w:rPr>
      </w:pPr>
      <w:proofErr w:type="spellStart"/>
      <w:r w:rsidRPr="00604254">
        <w:rPr>
          <w:rFonts w:ascii="David" w:eastAsiaTheme="minorEastAsia" w:hAnsi="David" w:cs="David" w:hint="cs"/>
          <w:b/>
          <w:bCs/>
          <w:sz w:val="24"/>
          <w:szCs w:val="24"/>
          <w:rtl/>
        </w:rPr>
        <w:t>חנ"ז</w:t>
      </w:r>
      <w:proofErr w:type="spellEnd"/>
      <w:r w:rsidRPr="00604254">
        <w:rPr>
          <w:rFonts w:ascii="David" w:eastAsiaTheme="minorEastAsia" w:hAnsi="David" w:cs="David" w:hint="cs"/>
          <w:b/>
          <w:bCs/>
          <w:sz w:val="24"/>
          <w:szCs w:val="24"/>
          <w:rtl/>
        </w:rPr>
        <w:t xml:space="preserve"> </w:t>
      </w:r>
      <w:r w:rsidRPr="00604254">
        <w:rPr>
          <w:rFonts w:ascii="David" w:eastAsiaTheme="minorEastAsia" w:hAnsi="David" w:cs="David"/>
          <w:b/>
          <w:bCs/>
          <w:sz w:val="24"/>
          <w:szCs w:val="24"/>
          <w:rtl/>
        </w:rPr>
        <w:t>–</w:t>
      </w:r>
      <w:r w:rsidRPr="00604254">
        <w:rPr>
          <w:rFonts w:ascii="David" w:eastAsiaTheme="minorEastAsia" w:hAnsi="David" w:cs="David" w:hint="cs"/>
          <w:b/>
          <w:bCs/>
          <w:sz w:val="24"/>
          <w:szCs w:val="24"/>
          <w:rtl/>
        </w:rPr>
        <w:t xml:space="preserve"> חברה נשלטת זרה</w:t>
      </w:r>
    </w:p>
    <w:p w:rsidR="00604254" w:rsidRPr="00604254" w:rsidRDefault="00604254" w:rsidP="00604254">
      <w:pPr>
        <w:pStyle w:val="a7"/>
        <w:numPr>
          <w:ilvl w:val="0"/>
          <w:numId w:val="44"/>
        </w:numPr>
        <w:spacing w:line="360" w:lineRule="auto"/>
        <w:jc w:val="both"/>
        <w:rPr>
          <w:rFonts w:ascii="David" w:eastAsiaTheme="minorEastAsia" w:hAnsi="David" w:cs="David"/>
          <w:b/>
          <w:bCs/>
          <w:sz w:val="24"/>
          <w:szCs w:val="24"/>
        </w:rPr>
      </w:pPr>
      <w:proofErr w:type="spellStart"/>
      <w:r w:rsidRPr="00604254">
        <w:rPr>
          <w:rFonts w:ascii="David" w:eastAsiaTheme="minorEastAsia" w:hAnsi="David" w:cs="David" w:hint="cs"/>
          <w:b/>
          <w:bCs/>
          <w:sz w:val="24"/>
          <w:szCs w:val="24"/>
          <w:rtl/>
        </w:rPr>
        <w:t>חמי"ז</w:t>
      </w:r>
      <w:proofErr w:type="spellEnd"/>
      <w:r w:rsidRPr="00604254">
        <w:rPr>
          <w:rFonts w:ascii="David" w:eastAsiaTheme="minorEastAsia" w:hAnsi="David" w:cs="David" w:hint="cs"/>
          <w:b/>
          <w:bCs/>
          <w:sz w:val="24"/>
          <w:szCs w:val="24"/>
          <w:rtl/>
        </w:rPr>
        <w:t xml:space="preserve"> </w:t>
      </w:r>
      <w:r w:rsidRPr="00604254">
        <w:rPr>
          <w:rFonts w:ascii="David" w:eastAsiaTheme="minorEastAsia" w:hAnsi="David" w:cs="David"/>
          <w:b/>
          <w:bCs/>
          <w:sz w:val="24"/>
          <w:szCs w:val="24"/>
          <w:rtl/>
        </w:rPr>
        <w:t>–</w:t>
      </w:r>
      <w:r w:rsidRPr="00604254">
        <w:rPr>
          <w:rFonts w:ascii="David" w:eastAsiaTheme="minorEastAsia" w:hAnsi="David" w:cs="David" w:hint="cs"/>
          <w:b/>
          <w:bCs/>
          <w:sz w:val="24"/>
          <w:szCs w:val="24"/>
          <w:rtl/>
        </w:rPr>
        <w:t xml:space="preserve"> חברת משלח יד זרה</w:t>
      </w:r>
    </w:p>
    <w:p w:rsidR="00604254" w:rsidRPr="00604254" w:rsidRDefault="00604254" w:rsidP="00604254">
      <w:pPr>
        <w:spacing w:line="360" w:lineRule="auto"/>
        <w:jc w:val="both"/>
        <w:rPr>
          <w:rFonts w:ascii="David" w:eastAsiaTheme="minorEastAsia" w:hAnsi="David" w:cs="David"/>
          <w:b/>
          <w:bCs/>
          <w:sz w:val="24"/>
          <w:szCs w:val="24"/>
          <w:rtl/>
        </w:rPr>
      </w:pPr>
      <w:r w:rsidRPr="00604254">
        <w:rPr>
          <w:rFonts w:ascii="David" w:eastAsiaTheme="minorEastAsia" w:hAnsi="David" w:cs="David" w:hint="cs"/>
          <w:b/>
          <w:bCs/>
          <w:sz w:val="24"/>
          <w:szCs w:val="24"/>
          <w:rtl/>
        </w:rPr>
        <w:t xml:space="preserve">הקדמה </w:t>
      </w:r>
    </w:p>
    <w:p w:rsidR="00604254" w:rsidRPr="00604254" w:rsidRDefault="00604254" w:rsidP="00604254">
      <w:pPr>
        <w:spacing w:line="360" w:lineRule="auto"/>
        <w:jc w:val="both"/>
        <w:rPr>
          <w:rFonts w:ascii="David" w:eastAsiaTheme="minorEastAsia" w:hAnsi="David" w:cs="David"/>
          <w:sz w:val="24"/>
          <w:szCs w:val="24"/>
          <w:rtl/>
        </w:rPr>
      </w:pPr>
      <w:r w:rsidRPr="00604254">
        <w:rPr>
          <w:rFonts w:ascii="David" w:eastAsiaTheme="minorEastAsia" w:hAnsi="David" w:cs="David" w:hint="cs"/>
          <w:sz w:val="24"/>
          <w:szCs w:val="24"/>
          <w:rtl/>
        </w:rPr>
        <w:t>ככלל, במיסוי בינלאומי קיימים 2 רבדים שיש להתחשב בהם: הרובד הראשון הוא הדין הפנימי והרוב השני זה אמנות המס. ללא תחולה של הדין הפנימי על נישום ספציפי או מקרה ספציפי אין משמעות להוראות האמנה באותו מקרה. רק במידה והוראות הדין הפנימי חלות רק אז נפנה להוראות האמנה על אותו מקרה.</w:t>
      </w:r>
    </w:p>
    <w:p w:rsidR="00604254" w:rsidRPr="00604254" w:rsidRDefault="00604254" w:rsidP="00604254">
      <w:pPr>
        <w:spacing w:line="360" w:lineRule="auto"/>
        <w:jc w:val="both"/>
        <w:rPr>
          <w:rFonts w:ascii="David" w:eastAsiaTheme="minorEastAsia" w:hAnsi="David" w:cs="David"/>
          <w:sz w:val="24"/>
          <w:szCs w:val="24"/>
          <w:rtl/>
        </w:rPr>
      </w:pPr>
      <w:r w:rsidRPr="00604254">
        <w:rPr>
          <w:rFonts w:ascii="David" w:eastAsiaTheme="minorEastAsia" w:hAnsi="David" w:cs="David" w:hint="cs"/>
          <w:sz w:val="24"/>
          <w:szCs w:val="24"/>
          <w:rtl/>
        </w:rPr>
        <w:t xml:space="preserve">דוגמא: יחיד תושב חוץ שהוא תושב מדינה שישראל חתמה </w:t>
      </w:r>
      <w:proofErr w:type="spellStart"/>
      <w:r w:rsidRPr="00604254">
        <w:rPr>
          <w:rFonts w:ascii="David" w:eastAsiaTheme="minorEastAsia" w:hAnsi="David" w:cs="David" w:hint="cs"/>
          <w:sz w:val="24"/>
          <w:szCs w:val="24"/>
          <w:rtl/>
        </w:rPr>
        <w:t>איתה</w:t>
      </w:r>
      <w:proofErr w:type="spellEnd"/>
      <w:r w:rsidRPr="00604254">
        <w:rPr>
          <w:rFonts w:ascii="David" w:eastAsiaTheme="minorEastAsia" w:hAnsi="David" w:cs="David" w:hint="cs"/>
          <w:sz w:val="24"/>
          <w:szCs w:val="24"/>
          <w:rtl/>
        </w:rPr>
        <w:t xml:space="preserve"> על אמנה, רכש מניות של חברה ישראלית ביום 1.1.09. ביום 1.1.10 מכר תושב החוץ את המניות של החברה הישראלית ומתעוררת השאלה כיצד בוחנים את חבות המס בגין רווח ההון שנוצר לו בישראל. נניח שלפי האמנה שיעור המס על מכירת מניות הינו 10%. הפתרון הוא פשוט, יש לבחון את חבות המס, ראשית לפי הדין הפנימי. הדין הפנימי קובע לפי סעיף 97 כי מכירת מניות של חברה ישראלית על ידי תושב חוץ פטורה ולכן לפי הדין הפנימי אין חיוב במס במקרה לעיל ואנו לא נדרשים להוראות האמנה. </w:t>
      </w:r>
    </w:p>
    <w:p w:rsidR="00604254" w:rsidRPr="00604254" w:rsidRDefault="00604254" w:rsidP="00604254">
      <w:pPr>
        <w:spacing w:line="360" w:lineRule="auto"/>
        <w:jc w:val="both"/>
        <w:rPr>
          <w:rFonts w:ascii="David" w:eastAsiaTheme="minorEastAsia" w:hAnsi="David" w:cs="David"/>
          <w:sz w:val="24"/>
          <w:szCs w:val="24"/>
          <w:rtl/>
        </w:rPr>
      </w:pPr>
      <w:r w:rsidRPr="00604254">
        <w:rPr>
          <w:rFonts w:ascii="David" w:eastAsiaTheme="minorEastAsia" w:hAnsi="David" w:cs="David" w:hint="cs"/>
          <w:sz w:val="24"/>
          <w:szCs w:val="24"/>
          <w:rtl/>
        </w:rPr>
        <w:t>הדין הפנימי</w:t>
      </w:r>
    </w:p>
    <w:p w:rsidR="00604254" w:rsidRPr="00604254" w:rsidRDefault="00604254" w:rsidP="00604254">
      <w:pPr>
        <w:spacing w:line="360" w:lineRule="auto"/>
        <w:jc w:val="both"/>
        <w:rPr>
          <w:rFonts w:ascii="David" w:eastAsiaTheme="minorEastAsia" w:hAnsi="David" w:cs="David"/>
          <w:sz w:val="24"/>
          <w:szCs w:val="24"/>
          <w:rtl/>
        </w:rPr>
      </w:pPr>
      <w:r w:rsidRPr="00604254">
        <w:rPr>
          <w:rFonts w:ascii="David" w:eastAsiaTheme="minorEastAsia" w:hAnsi="David" w:cs="David" w:hint="cs"/>
          <w:sz w:val="24"/>
          <w:szCs w:val="24"/>
          <w:rtl/>
        </w:rPr>
        <w:t xml:space="preserve">כללי </w:t>
      </w:r>
      <w:r w:rsidRPr="00604254">
        <w:rPr>
          <w:rFonts w:ascii="David" w:eastAsiaTheme="minorEastAsia" w:hAnsi="David" w:cs="David"/>
          <w:sz w:val="24"/>
          <w:szCs w:val="24"/>
          <w:rtl/>
        </w:rPr>
        <w:t>–</w:t>
      </w:r>
      <w:r w:rsidRPr="00604254">
        <w:rPr>
          <w:rFonts w:ascii="David" w:eastAsiaTheme="minorEastAsia" w:hAnsi="David" w:cs="David" w:hint="cs"/>
          <w:sz w:val="24"/>
          <w:szCs w:val="24"/>
          <w:rtl/>
        </w:rPr>
        <w:t xml:space="preserve"> עד שנת 2003 שיטת המיסוי בישראל הייתה שיטה שבעיקרה טריטוריאלית ולאחר תיקון 132, מיום 1.1.03 שונתה השיטה ולגבי תושב ישראל שיטת המיסוי היא פרסונאלית. כלומר, תושב ישראל ממוסה בכל מקום בעולם, ולגבי תושב החוץ, שיטת המיסוי לגביו היא שיטת מיסוי טריטוריאלית. עיקרון זה של שיטת מיסוי קבוע בסעיף 2 רישא לפקודה, לכן לצורך מיסוי בישראל עלינו לבחון 2 רבדים:</w:t>
      </w:r>
    </w:p>
    <w:p w:rsidR="00604254" w:rsidRPr="00604254" w:rsidRDefault="00604254" w:rsidP="00604254">
      <w:pPr>
        <w:pStyle w:val="a7"/>
        <w:numPr>
          <w:ilvl w:val="0"/>
          <w:numId w:val="45"/>
        </w:numPr>
        <w:spacing w:line="360" w:lineRule="auto"/>
        <w:jc w:val="both"/>
        <w:rPr>
          <w:rFonts w:ascii="David" w:eastAsiaTheme="minorEastAsia" w:hAnsi="David" w:cs="David"/>
          <w:sz w:val="24"/>
          <w:szCs w:val="24"/>
        </w:rPr>
      </w:pPr>
      <w:r w:rsidRPr="00604254">
        <w:rPr>
          <w:rFonts w:ascii="David" w:eastAsiaTheme="minorEastAsia" w:hAnsi="David" w:cs="David" w:hint="cs"/>
          <w:sz w:val="24"/>
          <w:szCs w:val="24"/>
          <w:rtl/>
        </w:rPr>
        <w:t>האם הנישום תושב ישראל או לא</w:t>
      </w:r>
    </w:p>
    <w:p w:rsidR="00604254" w:rsidRPr="00604254" w:rsidRDefault="00604254" w:rsidP="00604254">
      <w:pPr>
        <w:pStyle w:val="a7"/>
        <w:numPr>
          <w:ilvl w:val="0"/>
          <w:numId w:val="45"/>
        </w:numPr>
        <w:spacing w:line="360" w:lineRule="auto"/>
        <w:jc w:val="both"/>
        <w:rPr>
          <w:rFonts w:ascii="David" w:eastAsiaTheme="minorEastAsia" w:hAnsi="David" w:cs="David"/>
          <w:sz w:val="24"/>
          <w:szCs w:val="24"/>
        </w:rPr>
      </w:pPr>
      <w:r w:rsidRPr="00604254">
        <w:rPr>
          <w:rFonts w:ascii="David" w:eastAsiaTheme="minorEastAsia" w:hAnsi="David" w:cs="David" w:hint="cs"/>
          <w:sz w:val="24"/>
          <w:szCs w:val="24"/>
          <w:rtl/>
        </w:rPr>
        <w:t xml:space="preserve">מהו מקום הפקת ההכנסה לפי סעיפים 4א </w:t>
      </w:r>
      <w:r w:rsidRPr="00604254">
        <w:rPr>
          <w:rFonts w:ascii="David" w:eastAsiaTheme="minorEastAsia" w:hAnsi="David" w:cs="David"/>
          <w:sz w:val="24"/>
          <w:szCs w:val="24"/>
          <w:rtl/>
        </w:rPr>
        <w:t>–</w:t>
      </w:r>
      <w:r w:rsidRPr="00604254">
        <w:rPr>
          <w:rFonts w:ascii="David" w:eastAsiaTheme="minorEastAsia" w:hAnsi="David" w:cs="David" w:hint="cs"/>
          <w:sz w:val="24"/>
          <w:szCs w:val="24"/>
          <w:rtl/>
        </w:rPr>
        <w:t xml:space="preserve"> לגבי הכנסות </w:t>
      </w:r>
      <w:proofErr w:type="spellStart"/>
      <w:r w:rsidRPr="00604254">
        <w:rPr>
          <w:rFonts w:ascii="David" w:eastAsiaTheme="minorEastAsia" w:hAnsi="David" w:cs="David" w:hint="cs"/>
          <w:sz w:val="24"/>
          <w:szCs w:val="24"/>
          <w:rtl/>
        </w:rPr>
        <w:t>פירותיות</w:t>
      </w:r>
      <w:proofErr w:type="spellEnd"/>
      <w:r w:rsidRPr="00604254">
        <w:rPr>
          <w:rFonts w:ascii="David" w:eastAsiaTheme="minorEastAsia" w:hAnsi="David" w:cs="David" w:hint="cs"/>
          <w:sz w:val="24"/>
          <w:szCs w:val="24"/>
          <w:rtl/>
        </w:rPr>
        <w:t xml:space="preserve"> וסעיף 89 </w:t>
      </w:r>
      <w:r w:rsidRPr="00604254">
        <w:rPr>
          <w:rFonts w:ascii="David" w:eastAsiaTheme="minorEastAsia" w:hAnsi="David" w:cs="David"/>
          <w:sz w:val="24"/>
          <w:szCs w:val="24"/>
          <w:rtl/>
        </w:rPr>
        <w:t>–</w:t>
      </w:r>
      <w:r w:rsidRPr="00604254">
        <w:rPr>
          <w:rFonts w:ascii="David" w:eastAsiaTheme="minorEastAsia" w:hAnsi="David" w:cs="David" w:hint="cs"/>
          <w:sz w:val="24"/>
          <w:szCs w:val="24"/>
          <w:rtl/>
        </w:rPr>
        <w:t xml:space="preserve"> לגבי הכנסות הוניות. </w:t>
      </w:r>
    </w:p>
    <w:p w:rsidR="00604254" w:rsidRPr="00604254" w:rsidRDefault="00604254" w:rsidP="00604254">
      <w:pPr>
        <w:spacing w:line="360" w:lineRule="auto"/>
        <w:jc w:val="both"/>
        <w:rPr>
          <w:rFonts w:ascii="David" w:eastAsiaTheme="minorEastAsia" w:hAnsi="David" w:cs="David"/>
          <w:sz w:val="24"/>
          <w:szCs w:val="24"/>
          <w:rtl/>
        </w:rPr>
      </w:pPr>
      <w:r w:rsidRPr="00604254">
        <w:rPr>
          <w:rFonts w:ascii="David" w:eastAsiaTheme="minorEastAsia" w:hAnsi="David" w:cs="David" w:hint="cs"/>
          <w:sz w:val="24"/>
          <w:szCs w:val="24"/>
          <w:rtl/>
        </w:rPr>
        <w:t>תושבות של יחיד ושל חברה (ראה דף מצורף)</w:t>
      </w:r>
    </w:p>
    <w:p w:rsidR="00604254" w:rsidRPr="00604254" w:rsidRDefault="00604254" w:rsidP="00604254">
      <w:pPr>
        <w:spacing w:line="360" w:lineRule="auto"/>
        <w:jc w:val="both"/>
        <w:rPr>
          <w:rFonts w:ascii="David" w:eastAsiaTheme="minorEastAsia" w:hAnsi="David" w:cs="David"/>
          <w:b/>
          <w:bCs/>
          <w:sz w:val="24"/>
          <w:szCs w:val="24"/>
          <w:u w:val="single"/>
          <w:rtl/>
        </w:rPr>
      </w:pPr>
      <w:r w:rsidRPr="00604254">
        <w:rPr>
          <w:rFonts w:ascii="David" w:eastAsiaTheme="minorEastAsia" w:hAnsi="David" w:cs="David" w:hint="cs"/>
          <w:b/>
          <w:bCs/>
          <w:sz w:val="24"/>
          <w:szCs w:val="24"/>
          <w:u w:val="single"/>
          <w:rtl/>
        </w:rPr>
        <w:t xml:space="preserve">תושב חוץ </w:t>
      </w:r>
    </w:p>
    <w:p w:rsidR="00604254" w:rsidRPr="00604254" w:rsidRDefault="00604254" w:rsidP="00604254">
      <w:pPr>
        <w:spacing w:line="360" w:lineRule="auto"/>
        <w:jc w:val="both"/>
        <w:rPr>
          <w:rFonts w:ascii="David" w:eastAsiaTheme="minorEastAsia" w:hAnsi="David" w:cs="David"/>
          <w:sz w:val="24"/>
          <w:szCs w:val="24"/>
          <w:rtl/>
        </w:rPr>
      </w:pPr>
      <w:r w:rsidRPr="00604254">
        <w:rPr>
          <w:rFonts w:ascii="David" w:eastAsiaTheme="minorEastAsia" w:hAnsi="David" w:cs="David" w:hint="cs"/>
          <w:sz w:val="24"/>
          <w:szCs w:val="24"/>
          <w:rtl/>
        </w:rPr>
        <w:t>המבחן של תושב חוץ ליחיד הוא מי שהתקיימו בו כל אלה:</w:t>
      </w:r>
    </w:p>
    <w:p w:rsidR="00604254" w:rsidRPr="00604254" w:rsidRDefault="00604254" w:rsidP="00604254">
      <w:pPr>
        <w:pStyle w:val="a7"/>
        <w:numPr>
          <w:ilvl w:val="0"/>
          <w:numId w:val="42"/>
        </w:numPr>
        <w:spacing w:line="360" w:lineRule="auto"/>
        <w:jc w:val="both"/>
        <w:rPr>
          <w:rFonts w:ascii="David" w:eastAsiaTheme="minorEastAsia" w:hAnsi="David" w:cs="David"/>
          <w:sz w:val="24"/>
          <w:szCs w:val="24"/>
        </w:rPr>
      </w:pPr>
      <w:r w:rsidRPr="00604254">
        <w:rPr>
          <w:rFonts w:ascii="David" w:eastAsiaTheme="minorEastAsia" w:hAnsi="David" w:cs="David" w:hint="cs"/>
          <w:sz w:val="24"/>
          <w:szCs w:val="24"/>
          <w:rtl/>
        </w:rPr>
        <w:t>הוא שהה מחוץ לישראל 183 יום לפחות בכל שנה בשנת המס ובשנת המס שלאחריה.</w:t>
      </w:r>
    </w:p>
    <w:p w:rsidR="00604254" w:rsidRPr="00604254" w:rsidRDefault="00604254" w:rsidP="00604254">
      <w:pPr>
        <w:pStyle w:val="a7"/>
        <w:numPr>
          <w:ilvl w:val="0"/>
          <w:numId w:val="42"/>
        </w:numPr>
        <w:spacing w:line="360" w:lineRule="auto"/>
        <w:jc w:val="both"/>
        <w:rPr>
          <w:rFonts w:ascii="David" w:eastAsiaTheme="minorEastAsia" w:hAnsi="David" w:cs="David"/>
          <w:sz w:val="24"/>
          <w:szCs w:val="24"/>
          <w:rtl/>
        </w:rPr>
      </w:pPr>
      <w:r w:rsidRPr="00604254">
        <w:rPr>
          <w:rFonts w:ascii="David" w:eastAsiaTheme="minorEastAsia" w:hAnsi="David" w:cs="David" w:hint="cs"/>
          <w:sz w:val="24"/>
          <w:szCs w:val="24"/>
          <w:rtl/>
        </w:rPr>
        <w:lastRenderedPageBreak/>
        <w:t xml:space="preserve">מרכז חייו לא היה בישראל ב </w:t>
      </w:r>
      <w:r w:rsidRPr="00604254">
        <w:rPr>
          <w:rFonts w:ascii="David" w:eastAsiaTheme="minorEastAsia" w:hAnsi="David" w:cs="David"/>
          <w:sz w:val="24"/>
          <w:szCs w:val="24"/>
          <w:rtl/>
        </w:rPr>
        <w:t>–</w:t>
      </w:r>
      <w:r w:rsidRPr="00604254">
        <w:rPr>
          <w:rFonts w:ascii="David" w:eastAsiaTheme="minorEastAsia" w:hAnsi="David" w:cs="David" w:hint="cs"/>
          <w:sz w:val="24"/>
          <w:szCs w:val="24"/>
          <w:rtl/>
        </w:rPr>
        <w:t xml:space="preserve"> 2 שנות המס שלאחר שנות המס האמות, כלומר בשנתיים הראשונות על היחיד לשהות פחות מ </w:t>
      </w:r>
      <w:r w:rsidRPr="00604254">
        <w:rPr>
          <w:rFonts w:ascii="David" w:eastAsiaTheme="minorEastAsia" w:hAnsi="David" w:cs="David"/>
          <w:sz w:val="24"/>
          <w:szCs w:val="24"/>
          <w:rtl/>
        </w:rPr>
        <w:t>–</w:t>
      </w:r>
      <w:r w:rsidRPr="00604254">
        <w:rPr>
          <w:rFonts w:ascii="David" w:eastAsiaTheme="minorEastAsia" w:hAnsi="David" w:cs="David" w:hint="cs"/>
          <w:sz w:val="24"/>
          <w:szCs w:val="24"/>
          <w:rtl/>
        </w:rPr>
        <w:t xml:space="preserve"> 183 ימים בשנה בישראל ובשנתיים שלאחר מכן, ליו להוכיח עליו להוכיח שמרכז חייו מחוץ לישראל.</w:t>
      </w:r>
    </w:p>
    <w:p w:rsidR="00604254" w:rsidRPr="00604254" w:rsidRDefault="00604254" w:rsidP="00604254">
      <w:pPr>
        <w:spacing w:line="360" w:lineRule="auto"/>
        <w:jc w:val="both"/>
        <w:rPr>
          <w:rFonts w:ascii="David" w:eastAsiaTheme="minorEastAsia" w:hAnsi="David" w:cs="David"/>
          <w:sz w:val="24"/>
          <w:szCs w:val="24"/>
          <w:rtl/>
        </w:rPr>
      </w:pPr>
      <w:r w:rsidRPr="00604254">
        <w:rPr>
          <w:rFonts w:ascii="David" w:eastAsiaTheme="minorEastAsia" w:hAnsi="David" w:cs="David" w:hint="cs"/>
          <w:sz w:val="24"/>
          <w:szCs w:val="24"/>
          <w:rtl/>
        </w:rPr>
        <w:t>יחיד שעומד במבחנים אלו ייחשב כתושב חוץ החל מהיום הראשון לעזיבתו</w:t>
      </w:r>
    </w:p>
    <w:p w:rsidR="00604254" w:rsidRPr="00604254" w:rsidRDefault="00604254" w:rsidP="00604254">
      <w:pPr>
        <w:spacing w:line="360" w:lineRule="auto"/>
        <w:jc w:val="both"/>
        <w:rPr>
          <w:rFonts w:ascii="David" w:eastAsiaTheme="minorEastAsia" w:hAnsi="David" w:cs="David"/>
          <w:b/>
          <w:bCs/>
          <w:sz w:val="24"/>
          <w:szCs w:val="24"/>
          <w:u w:val="single"/>
          <w:rtl/>
        </w:rPr>
      </w:pPr>
      <w:r w:rsidRPr="00604254">
        <w:rPr>
          <w:rFonts w:ascii="David" w:eastAsiaTheme="minorEastAsia" w:hAnsi="David" w:cs="David" w:hint="cs"/>
          <w:b/>
          <w:bCs/>
          <w:sz w:val="24"/>
          <w:szCs w:val="24"/>
          <w:u w:val="single"/>
          <w:rtl/>
        </w:rPr>
        <w:t>סקירת פסיקה</w:t>
      </w:r>
    </w:p>
    <w:p w:rsidR="00604254" w:rsidRPr="00604254" w:rsidRDefault="00604254" w:rsidP="00604254">
      <w:pPr>
        <w:spacing w:line="360" w:lineRule="auto"/>
        <w:jc w:val="both"/>
        <w:rPr>
          <w:rFonts w:ascii="David" w:eastAsiaTheme="minorEastAsia" w:hAnsi="David" w:cs="David"/>
          <w:sz w:val="24"/>
          <w:szCs w:val="24"/>
          <w:rtl/>
        </w:rPr>
      </w:pPr>
      <w:r w:rsidRPr="00604254">
        <w:rPr>
          <w:rFonts w:ascii="David" w:eastAsiaTheme="minorEastAsia" w:hAnsi="David" w:cs="David" w:hint="cs"/>
          <w:sz w:val="24"/>
          <w:szCs w:val="24"/>
          <w:rtl/>
        </w:rPr>
        <w:t xml:space="preserve">פס"ד גונן </w:t>
      </w:r>
      <w:r w:rsidRPr="00604254">
        <w:rPr>
          <w:rFonts w:ascii="David" w:eastAsiaTheme="minorEastAsia" w:hAnsi="David" w:cs="David"/>
          <w:sz w:val="24"/>
          <w:szCs w:val="24"/>
          <w:rtl/>
        </w:rPr>
        <w:t>–</w:t>
      </w:r>
      <w:r w:rsidRPr="00604254">
        <w:rPr>
          <w:rFonts w:ascii="David" w:eastAsiaTheme="minorEastAsia" w:hAnsi="David" w:cs="David" w:hint="cs"/>
          <w:sz w:val="24"/>
          <w:szCs w:val="24"/>
          <w:rtl/>
        </w:rPr>
        <w:t xml:space="preserve"> </w:t>
      </w:r>
    </w:p>
    <w:p w:rsidR="00604254" w:rsidRPr="00604254" w:rsidRDefault="00604254" w:rsidP="00604254">
      <w:pPr>
        <w:pStyle w:val="a7"/>
        <w:numPr>
          <w:ilvl w:val="0"/>
          <w:numId w:val="43"/>
        </w:numPr>
        <w:spacing w:line="360" w:lineRule="auto"/>
        <w:jc w:val="both"/>
        <w:rPr>
          <w:rFonts w:ascii="David" w:eastAsiaTheme="minorEastAsia" w:hAnsi="David" w:cs="David"/>
          <w:sz w:val="24"/>
          <w:szCs w:val="24"/>
        </w:rPr>
      </w:pPr>
      <w:r w:rsidRPr="00604254">
        <w:rPr>
          <w:rFonts w:ascii="David" w:eastAsiaTheme="minorEastAsia" w:hAnsi="David" w:cs="David" w:hint="cs"/>
          <w:sz w:val="24"/>
          <w:szCs w:val="24"/>
          <w:rtl/>
        </w:rPr>
        <w:t xml:space="preserve">קיומו של המבחן הסובייקטיבי </w:t>
      </w:r>
      <w:r w:rsidRPr="00604254">
        <w:rPr>
          <w:rFonts w:ascii="David" w:eastAsiaTheme="minorEastAsia" w:hAnsi="David" w:cs="David"/>
          <w:sz w:val="24"/>
          <w:szCs w:val="24"/>
          <w:rtl/>
        </w:rPr>
        <w:t>–</w:t>
      </w:r>
      <w:r w:rsidRPr="00604254">
        <w:rPr>
          <w:rFonts w:ascii="David" w:eastAsiaTheme="minorEastAsia" w:hAnsi="David" w:cs="David" w:hint="cs"/>
          <w:sz w:val="24"/>
          <w:szCs w:val="24"/>
          <w:rtl/>
        </w:rPr>
        <w:t xml:space="preserve"> היכן הנישום רואה את מרכז חייו </w:t>
      </w:r>
    </w:p>
    <w:p w:rsidR="00604254" w:rsidRPr="00604254" w:rsidRDefault="00604254" w:rsidP="00604254">
      <w:pPr>
        <w:pStyle w:val="a7"/>
        <w:numPr>
          <w:ilvl w:val="0"/>
          <w:numId w:val="43"/>
        </w:numPr>
        <w:spacing w:line="360" w:lineRule="auto"/>
        <w:jc w:val="both"/>
        <w:rPr>
          <w:rFonts w:ascii="David" w:eastAsiaTheme="minorEastAsia" w:hAnsi="David" w:cs="David"/>
          <w:sz w:val="24"/>
          <w:szCs w:val="24"/>
          <w:rtl/>
        </w:rPr>
      </w:pPr>
      <w:r w:rsidRPr="00604254">
        <w:rPr>
          <w:rFonts w:ascii="David" w:eastAsiaTheme="minorEastAsia" w:hAnsi="David" w:cs="David" w:hint="cs"/>
          <w:sz w:val="24"/>
          <w:szCs w:val="24"/>
          <w:rtl/>
        </w:rPr>
        <w:t>ניתוק התושבות אינו אקט חד, אלא תהליך הנבנה על פני זמן</w:t>
      </w:r>
    </w:p>
    <w:p w:rsidR="00604254" w:rsidRPr="00604254" w:rsidRDefault="00604254" w:rsidP="00604254">
      <w:pPr>
        <w:spacing w:line="360" w:lineRule="auto"/>
        <w:jc w:val="both"/>
        <w:rPr>
          <w:rFonts w:ascii="David" w:eastAsiaTheme="minorEastAsia" w:hAnsi="David" w:cs="David"/>
          <w:sz w:val="24"/>
          <w:szCs w:val="24"/>
          <w:rtl/>
        </w:rPr>
      </w:pPr>
      <w:r w:rsidRPr="00604254">
        <w:rPr>
          <w:rFonts w:ascii="David" w:eastAsiaTheme="minorEastAsia" w:hAnsi="David" w:cs="David" w:hint="cs"/>
          <w:sz w:val="24"/>
          <w:szCs w:val="24"/>
          <w:rtl/>
        </w:rPr>
        <w:t xml:space="preserve">תושב ישראל שעבר לארה"ב עם משפחתו לתקופה קצרה. בפסק הדין נקבע כי המבחן הסובייקטיבי הוא מבחן משמעותי ויש לשים דגש על כוונתו הסובייקטיבית הנישום. יש לשקלל את המבחן הסובייקטיבי בבחינת מרכז חייו של הנישום. בפס"ד זה ביקש הנישום לאבחן בין עיסוקו בישראל לבין עיסוקו מחוץ לישראל. ביהמ"ש לא קיבל את טענתו. ביהמ"ש חוזר על הטענה מאריה גונן וטוען שנטל השכנוע בשאלת התושבות מוטל על פקיד השומה. </w:t>
      </w:r>
    </w:p>
    <w:p w:rsidR="00604254" w:rsidRPr="00604254" w:rsidRDefault="00604254" w:rsidP="00604254">
      <w:pPr>
        <w:spacing w:line="360" w:lineRule="auto"/>
        <w:jc w:val="both"/>
        <w:rPr>
          <w:rFonts w:ascii="David" w:eastAsiaTheme="minorEastAsia" w:hAnsi="David" w:cs="David"/>
          <w:sz w:val="24"/>
          <w:szCs w:val="24"/>
          <w:rtl/>
        </w:rPr>
      </w:pPr>
      <w:r w:rsidRPr="00604254">
        <w:rPr>
          <w:rFonts w:ascii="David" w:eastAsiaTheme="minorEastAsia" w:hAnsi="David" w:cs="David" w:hint="cs"/>
          <w:sz w:val="24"/>
          <w:szCs w:val="24"/>
          <w:rtl/>
        </w:rPr>
        <w:t xml:space="preserve">פס"ד סולר גיורא </w:t>
      </w:r>
      <w:r w:rsidRPr="00604254">
        <w:rPr>
          <w:rFonts w:ascii="David" w:eastAsiaTheme="minorEastAsia" w:hAnsi="David" w:cs="David"/>
          <w:sz w:val="24"/>
          <w:szCs w:val="24"/>
          <w:rtl/>
        </w:rPr>
        <w:t>–</w:t>
      </w:r>
      <w:r w:rsidRPr="00604254">
        <w:rPr>
          <w:rFonts w:ascii="David" w:eastAsiaTheme="minorEastAsia" w:hAnsi="David" w:cs="David" w:hint="cs"/>
          <w:sz w:val="24"/>
          <w:szCs w:val="24"/>
          <w:rtl/>
        </w:rPr>
        <w:t xml:space="preserve"> </w:t>
      </w:r>
    </w:p>
    <w:p w:rsidR="00604254" w:rsidRPr="00604254" w:rsidRDefault="00604254" w:rsidP="00604254">
      <w:pPr>
        <w:pStyle w:val="a7"/>
        <w:numPr>
          <w:ilvl w:val="0"/>
          <w:numId w:val="46"/>
        </w:numPr>
        <w:spacing w:line="360" w:lineRule="auto"/>
        <w:ind w:left="397"/>
        <w:jc w:val="both"/>
        <w:rPr>
          <w:rFonts w:ascii="David" w:eastAsiaTheme="minorEastAsia" w:hAnsi="David" w:cs="David"/>
          <w:sz w:val="24"/>
          <w:szCs w:val="24"/>
        </w:rPr>
      </w:pPr>
      <w:r w:rsidRPr="00604254">
        <w:rPr>
          <w:rFonts w:ascii="David" w:eastAsiaTheme="minorEastAsia" w:hAnsi="David" w:cs="David" w:hint="cs"/>
          <w:sz w:val="24"/>
          <w:szCs w:val="24"/>
          <w:rtl/>
        </w:rPr>
        <w:t xml:space="preserve">תושב ישראל שעבר לארצות הברית עם משפחתו לתקופה קצרה. בפס"ד נקבע כי המבחן הסובייקטיבי הוא מבחן משמעותי ויש לשים דגש על כוונתו הסובייקטיבית של הנישום. יש לשקלל את המבחן הסובייקטיבי בבחינת מרכז חייו של הנישום. </w:t>
      </w:r>
    </w:p>
    <w:p w:rsidR="00604254" w:rsidRPr="00604254" w:rsidRDefault="00604254" w:rsidP="00604254">
      <w:pPr>
        <w:pStyle w:val="a7"/>
        <w:numPr>
          <w:ilvl w:val="0"/>
          <w:numId w:val="46"/>
        </w:numPr>
        <w:spacing w:line="360" w:lineRule="auto"/>
        <w:ind w:left="397"/>
        <w:jc w:val="both"/>
        <w:rPr>
          <w:rFonts w:ascii="David" w:eastAsiaTheme="minorEastAsia" w:hAnsi="David" w:cs="David"/>
          <w:sz w:val="24"/>
          <w:szCs w:val="24"/>
        </w:rPr>
      </w:pPr>
      <w:r w:rsidRPr="00604254">
        <w:rPr>
          <w:rFonts w:ascii="David" w:eastAsiaTheme="minorEastAsia" w:hAnsi="David" w:cs="David" w:hint="cs"/>
          <w:sz w:val="24"/>
          <w:szCs w:val="24"/>
          <w:rtl/>
        </w:rPr>
        <w:t>בפס"ד ביקש הנישום לאבחן בין עיסוקו בישראל לעיסוקו מחוץ לישראל, ביהמ"ש לא קיבל את טענתו.</w:t>
      </w:r>
    </w:p>
    <w:p w:rsidR="00604254" w:rsidRPr="00604254" w:rsidRDefault="00604254" w:rsidP="00604254">
      <w:pPr>
        <w:pStyle w:val="a7"/>
        <w:numPr>
          <w:ilvl w:val="0"/>
          <w:numId w:val="46"/>
        </w:numPr>
        <w:spacing w:line="360" w:lineRule="auto"/>
        <w:ind w:left="397"/>
        <w:jc w:val="both"/>
        <w:rPr>
          <w:rFonts w:ascii="David" w:eastAsiaTheme="minorEastAsia" w:hAnsi="David" w:cs="David"/>
          <w:sz w:val="24"/>
          <w:szCs w:val="24"/>
        </w:rPr>
      </w:pPr>
      <w:r w:rsidRPr="00604254">
        <w:rPr>
          <w:rFonts w:ascii="David" w:eastAsiaTheme="minorEastAsia" w:hAnsi="David" w:cs="David" w:hint="cs"/>
          <w:sz w:val="24"/>
          <w:szCs w:val="24"/>
          <w:rtl/>
        </w:rPr>
        <w:t xml:space="preserve">ביהמ"ש חוזר על הטענה מאריה גונן וטוען שנטל השכנוע בשאת התושבות מוטל על פקיד השומה. </w:t>
      </w:r>
    </w:p>
    <w:p w:rsidR="00604254" w:rsidRPr="00604254" w:rsidRDefault="00604254" w:rsidP="00604254">
      <w:pPr>
        <w:spacing w:line="360" w:lineRule="auto"/>
        <w:ind w:left="397"/>
        <w:jc w:val="both"/>
        <w:rPr>
          <w:rFonts w:ascii="David" w:eastAsiaTheme="minorEastAsia" w:hAnsi="David" w:cs="David"/>
          <w:sz w:val="24"/>
          <w:szCs w:val="24"/>
          <w:rtl/>
        </w:rPr>
      </w:pPr>
      <w:r w:rsidRPr="00604254">
        <w:rPr>
          <w:rFonts w:ascii="David" w:eastAsiaTheme="minorEastAsia" w:hAnsi="David" w:cs="David" w:hint="cs"/>
          <w:sz w:val="24"/>
          <w:szCs w:val="24"/>
          <w:rtl/>
        </w:rPr>
        <w:t xml:space="preserve">פס"ד </w:t>
      </w:r>
      <w:proofErr w:type="spellStart"/>
      <w:r w:rsidRPr="00604254">
        <w:rPr>
          <w:rFonts w:ascii="David" w:eastAsiaTheme="minorEastAsia" w:hAnsi="David" w:cs="David" w:hint="cs"/>
          <w:sz w:val="24"/>
          <w:szCs w:val="24"/>
          <w:rtl/>
        </w:rPr>
        <w:t>צייגר</w:t>
      </w:r>
      <w:proofErr w:type="spellEnd"/>
      <w:r w:rsidRPr="00604254">
        <w:rPr>
          <w:rFonts w:ascii="David" w:eastAsiaTheme="minorEastAsia" w:hAnsi="David" w:cs="David" w:hint="cs"/>
          <w:sz w:val="24"/>
          <w:szCs w:val="24"/>
          <w:rtl/>
        </w:rPr>
        <w:t xml:space="preserve"> </w:t>
      </w:r>
      <w:r w:rsidRPr="00604254">
        <w:rPr>
          <w:rFonts w:ascii="David" w:eastAsiaTheme="minorEastAsia" w:hAnsi="David" w:cs="David"/>
          <w:sz w:val="24"/>
          <w:szCs w:val="24"/>
          <w:rtl/>
        </w:rPr>
        <w:t>–</w:t>
      </w:r>
      <w:r w:rsidRPr="00604254">
        <w:rPr>
          <w:rFonts w:ascii="David" w:eastAsiaTheme="minorEastAsia" w:hAnsi="David" w:cs="David" w:hint="cs"/>
          <w:sz w:val="24"/>
          <w:szCs w:val="24"/>
          <w:rtl/>
        </w:rPr>
        <w:t xml:space="preserve"> בפס"ד זה נקבע כי עצם העובדה שהנישום חי בנפרד ממשפחתו אין בה בכדי לקבוע בוודאות כי מקום מרכז חייו מצוי במקום מגורי משפחתו וכי מבחן האינטרסים המשפחתיים הוא מבחן משמעותי, אך לא מכריע. </w:t>
      </w:r>
    </w:p>
    <w:p w:rsidR="00604254" w:rsidRPr="00604254" w:rsidRDefault="00604254" w:rsidP="00604254">
      <w:pPr>
        <w:spacing w:line="360" w:lineRule="auto"/>
        <w:jc w:val="both"/>
        <w:rPr>
          <w:rFonts w:ascii="David" w:eastAsiaTheme="minorEastAsia" w:hAnsi="David" w:cs="David"/>
          <w:sz w:val="24"/>
          <w:szCs w:val="24"/>
          <w:rtl/>
        </w:rPr>
      </w:pPr>
      <w:r w:rsidRPr="00604254">
        <w:rPr>
          <w:rFonts w:ascii="David" w:eastAsiaTheme="minorEastAsia" w:hAnsi="David" w:cs="David" w:hint="cs"/>
          <w:sz w:val="24"/>
          <w:szCs w:val="24"/>
          <w:rtl/>
        </w:rPr>
        <w:t xml:space="preserve">פס"ד א.כ </w:t>
      </w:r>
      <w:r w:rsidRPr="00604254">
        <w:rPr>
          <w:rFonts w:ascii="David" w:eastAsiaTheme="minorEastAsia" w:hAnsi="David" w:cs="David"/>
          <w:sz w:val="24"/>
          <w:szCs w:val="24"/>
          <w:rtl/>
        </w:rPr>
        <w:t>–</w:t>
      </w:r>
      <w:r w:rsidRPr="00604254">
        <w:rPr>
          <w:rFonts w:ascii="David" w:eastAsiaTheme="minorEastAsia" w:hAnsi="David" w:cs="David" w:hint="cs"/>
          <w:sz w:val="24"/>
          <w:szCs w:val="24"/>
          <w:rtl/>
        </w:rPr>
        <w:t xml:space="preserve"> המערער במקרה זה טען שהינו תושב רומניה עד לאותו מועד ולאחר מכן הינו תושב חוזר. פס"ד זה דן בכל הפרמטרים הקובעים את מרכז החיים: </w:t>
      </w:r>
    </w:p>
    <w:p w:rsidR="00604254" w:rsidRPr="00604254" w:rsidRDefault="00604254" w:rsidP="00604254">
      <w:pPr>
        <w:spacing w:line="360" w:lineRule="auto"/>
        <w:jc w:val="both"/>
        <w:rPr>
          <w:rFonts w:ascii="David" w:eastAsiaTheme="minorEastAsia" w:hAnsi="David" w:cs="David"/>
          <w:sz w:val="24"/>
          <w:szCs w:val="24"/>
          <w:rtl/>
        </w:rPr>
      </w:pPr>
      <w:r w:rsidRPr="00604254">
        <w:rPr>
          <w:rFonts w:ascii="David" w:eastAsiaTheme="minorEastAsia" w:hAnsi="David" w:cs="David" w:hint="cs"/>
          <w:sz w:val="24"/>
          <w:szCs w:val="24"/>
          <w:rtl/>
        </w:rPr>
        <w:t xml:space="preserve">מבחן בית הקבע </w:t>
      </w:r>
      <w:r w:rsidRPr="00604254">
        <w:rPr>
          <w:rFonts w:ascii="David" w:eastAsiaTheme="minorEastAsia" w:hAnsi="David" w:cs="David"/>
          <w:sz w:val="24"/>
          <w:szCs w:val="24"/>
          <w:rtl/>
        </w:rPr>
        <w:t>–</w:t>
      </w:r>
      <w:r w:rsidRPr="00604254">
        <w:rPr>
          <w:rFonts w:ascii="David" w:eastAsiaTheme="minorEastAsia" w:hAnsi="David" w:cs="David" w:hint="cs"/>
          <w:sz w:val="24"/>
          <w:szCs w:val="24"/>
          <w:rtl/>
        </w:rPr>
        <w:t xml:space="preserve"> מקום המגורים שלו ושל בני משפחתו (משפחתו המורחבת גרה בישראל אך טען שבת זוגתו מבלה </w:t>
      </w:r>
      <w:proofErr w:type="spellStart"/>
      <w:r w:rsidRPr="00604254">
        <w:rPr>
          <w:rFonts w:ascii="David" w:eastAsiaTheme="minorEastAsia" w:hAnsi="David" w:cs="David" w:hint="cs"/>
          <w:sz w:val="24"/>
          <w:szCs w:val="24"/>
          <w:rtl/>
        </w:rPr>
        <w:t>איתו</w:t>
      </w:r>
      <w:proofErr w:type="spellEnd"/>
      <w:r w:rsidRPr="00604254">
        <w:rPr>
          <w:rFonts w:ascii="David" w:eastAsiaTheme="minorEastAsia" w:hAnsi="David" w:cs="David" w:hint="cs"/>
          <w:sz w:val="24"/>
          <w:szCs w:val="24"/>
          <w:rtl/>
        </w:rPr>
        <w:t xml:space="preserve"> בבית ברומניה), מקום עיסוקו והאינטרסים הכלכליים שלו ופעילותו בארגונים. </w:t>
      </w:r>
    </w:p>
    <w:p w:rsidR="00604254" w:rsidRPr="00604254" w:rsidRDefault="00604254" w:rsidP="00604254">
      <w:pPr>
        <w:spacing w:line="360" w:lineRule="auto"/>
        <w:jc w:val="both"/>
        <w:rPr>
          <w:rFonts w:ascii="David" w:eastAsiaTheme="minorEastAsia" w:hAnsi="David" w:cs="David"/>
          <w:sz w:val="24"/>
          <w:szCs w:val="24"/>
          <w:rtl/>
        </w:rPr>
      </w:pPr>
      <w:r w:rsidRPr="00604254">
        <w:rPr>
          <w:rFonts w:ascii="David" w:eastAsiaTheme="minorEastAsia" w:hAnsi="David" w:cs="David" w:hint="cs"/>
          <w:sz w:val="24"/>
          <w:szCs w:val="24"/>
          <w:rtl/>
        </w:rPr>
        <w:t xml:space="preserve">נקבע בפס"ד זה שהיו תושב ישראל (מה שחשוב בפס"ד זה אלו המבחנים). </w:t>
      </w:r>
    </w:p>
    <w:p w:rsidR="00604254" w:rsidRPr="00604254" w:rsidRDefault="00604254" w:rsidP="00604254">
      <w:pPr>
        <w:spacing w:line="360" w:lineRule="auto"/>
        <w:rPr>
          <w:rFonts w:cs="David"/>
          <w:b/>
          <w:bCs/>
          <w:color w:val="FF0000"/>
          <w:sz w:val="24"/>
          <w:szCs w:val="24"/>
          <w:u w:val="single"/>
          <w:rtl/>
        </w:rPr>
      </w:pPr>
      <w:bookmarkStart w:id="0" w:name="_GoBack"/>
      <w:bookmarkEnd w:id="0"/>
    </w:p>
    <w:sectPr w:rsidR="00604254" w:rsidRPr="00604254" w:rsidSect="000738AB">
      <w:headerReference w:type="default" r:id="rId8"/>
      <w:footerReference w:type="default" r:id="rId9"/>
      <w:pgSz w:w="11906" w:h="16838"/>
      <w:pgMar w:top="1440" w:right="1800" w:bottom="1440" w:left="1800" w:header="708" w:footer="708" w:gutter="0"/>
      <w:pgNumType w:start="2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9E2" w:rsidRDefault="00CC19E2" w:rsidP="00F172F9">
      <w:pPr>
        <w:spacing w:after="0" w:line="240" w:lineRule="auto"/>
      </w:pPr>
      <w:r>
        <w:separator/>
      </w:r>
    </w:p>
  </w:endnote>
  <w:endnote w:type="continuationSeparator" w:id="0">
    <w:p w:rsidR="00CC19E2" w:rsidRDefault="00CC19E2"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067034" w:rsidRDefault="00067034">
        <w:pPr>
          <w:pStyle w:val="a5"/>
          <w:jc w:val="center"/>
          <w:rPr>
            <w:rtl/>
            <w:cs/>
          </w:rPr>
        </w:pPr>
        <w:r>
          <w:fldChar w:fldCharType="begin"/>
        </w:r>
        <w:r>
          <w:rPr>
            <w:rtl/>
            <w:cs/>
          </w:rPr>
          <w:instrText>PAGE   \* MERGEFORMAT</w:instrText>
        </w:r>
        <w:r>
          <w:fldChar w:fldCharType="separate"/>
        </w:r>
        <w:r w:rsidR="000738AB" w:rsidRPr="000738AB">
          <w:rPr>
            <w:noProof/>
            <w:rtl/>
            <w:lang w:val="he-IL"/>
          </w:rPr>
          <w:t>23</w:t>
        </w:r>
        <w:r>
          <w:fldChar w:fldCharType="end"/>
        </w:r>
      </w:p>
    </w:sdtContent>
  </w:sdt>
  <w:p w:rsidR="00067034" w:rsidRDefault="000670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9E2" w:rsidRDefault="00CC19E2" w:rsidP="00F172F9">
      <w:pPr>
        <w:spacing w:after="0" w:line="240" w:lineRule="auto"/>
      </w:pPr>
      <w:r>
        <w:separator/>
      </w:r>
    </w:p>
  </w:footnote>
  <w:footnote w:type="continuationSeparator" w:id="0">
    <w:p w:rsidR="00CC19E2" w:rsidRDefault="00CC19E2"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34" w:rsidRPr="00F172F9" w:rsidRDefault="00067034" w:rsidP="009B295E">
    <w:pPr>
      <w:pStyle w:val="a3"/>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sidR="00445DDE">
      <w:rPr>
        <w:rFonts w:cs="David" w:hint="cs"/>
        <w:sz w:val="24"/>
        <w:szCs w:val="24"/>
        <w:rtl/>
      </w:rPr>
      <w:t>31</w:t>
    </w:r>
    <w:r w:rsidR="00EA5EB3">
      <w:rPr>
        <w:rFonts w:cs="David" w:hint="cs"/>
        <w:sz w:val="24"/>
        <w:szCs w:val="24"/>
        <w:rtl/>
      </w:rPr>
      <w:t>/03</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61212"/>
    <w:multiLevelType w:val="hybridMultilevel"/>
    <w:tmpl w:val="033ED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D93537"/>
    <w:multiLevelType w:val="hybridMultilevel"/>
    <w:tmpl w:val="D4E28CDC"/>
    <w:lvl w:ilvl="0" w:tplc="77B4C03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A70FCA"/>
    <w:multiLevelType w:val="hybridMultilevel"/>
    <w:tmpl w:val="54E44514"/>
    <w:lvl w:ilvl="0" w:tplc="07B87C06">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22F44"/>
    <w:multiLevelType w:val="hybridMultilevel"/>
    <w:tmpl w:val="367C86F6"/>
    <w:lvl w:ilvl="0" w:tplc="56D0F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C670B"/>
    <w:multiLevelType w:val="hybridMultilevel"/>
    <w:tmpl w:val="AEFA518A"/>
    <w:lvl w:ilvl="0" w:tplc="54A24C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45DE3"/>
    <w:multiLevelType w:val="hybridMultilevel"/>
    <w:tmpl w:val="BC50E6E8"/>
    <w:lvl w:ilvl="0" w:tplc="2F0084F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4BA56EB"/>
    <w:multiLevelType w:val="hybridMultilevel"/>
    <w:tmpl w:val="4C5AA158"/>
    <w:lvl w:ilvl="0" w:tplc="AC0A8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A332F"/>
    <w:multiLevelType w:val="hybridMultilevel"/>
    <w:tmpl w:val="5D3C1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804936"/>
    <w:multiLevelType w:val="hybridMultilevel"/>
    <w:tmpl w:val="E22C75EC"/>
    <w:lvl w:ilvl="0" w:tplc="273C71EE">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70368"/>
    <w:multiLevelType w:val="hybridMultilevel"/>
    <w:tmpl w:val="54EEA250"/>
    <w:lvl w:ilvl="0" w:tplc="F8D231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077F0D"/>
    <w:multiLevelType w:val="hybridMultilevel"/>
    <w:tmpl w:val="2A96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9643C"/>
    <w:multiLevelType w:val="hybridMultilevel"/>
    <w:tmpl w:val="A23AF71E"/>
    <w:lvl w:ilvl="0" w:tplc="FC98D5EE">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9C4103A"/>
    <w:multiLevelType w:val="hybridMultilevel"/>
    <w:tmpl w:val="69507E84"/>
    <w:lvl w:ilvl="0" w:tplc="9DF09C4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E26AAF"/>
    <w:multiLevelType w:val="hybridMultilevel"/>
    <w:tmpl w:val="BDAE6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E1777"/>
    <w:multiLevelType w:val="hybridMultilevel"/>
    <w:tmpl w:val="CD98C058"/>
    <w:lvl w:ilvl="0" w:tplc="66BA5B80">
      <w:start w:val="1"/>
      <w:numFmt w:val="hebrew1"/>
      <w:lvlText w:val="%1."/>
      <w:lvlJc w:val="left"/>
      <w:pPr>
        <w:ind w:left="720" w:hanging="360"/>
      </w:pPr>
      <w:rPr>
        <w:rFonts w:ascii="David" w:eastAsiaTheme="minorEastAsia" w:hAnsi="David" w:cs="Davi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2192094"/>
    <w:multiLevelType w:val="hybridMultilevel"/>
    <w:tmpl w:val="7A524124"/>
    <w:lvl w:ilvl="0" w:tplc="EC60ADA0">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2367A52"/>
    <w:multiLevelType w:val="hybridMultilevel"/>
    <w:tmpl w:val="D38C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415E8"/>
    <w:multiLevelType w:val="hybridMultilevel"/>
    <w:tmpl w:val="E0A00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E9758CD"/>
    <w:multiLevelType w:val="hybridMultilevel"/>
    <w:tmpl w:val="2EC4A57E"/>
    <w:lvl w:ilvl="0" w:tplc="6B98293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272A9A"/>
    <w:multiLevelType w:val="hybridMultilevel"/>
    <w:tmpl w:val="D47C5620"/>
    <w:lvl w:ilvl="0" w:tplc="F86498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42EC27D7"/>
    <w:multiLevelType w:val="hybridMultilevel"/>
    <w:tmpl w:val="63506982"/>
    <w:lvl w:ilvl="0" w:tplc="9634E582">
      <w:start w:val="200"/>
      <w:numFmt w:val="hebrew1"/>
      <w:lvlText w:val="%1."/>
      <w:lvlJc w:val="left"/>
      <w:pPr>
        <w:ind w:left="1738" w:hanging="360"/>
      </w:pPr>
      <w:rPr>
        <w:rFonts w:hint="default"/>
      </w:rPr>
    </w:lvl>
    <w:lvl w:ilvl="1" w:tplc="04090019" w:tentative="1">
      <w:start w:val="1"/>
      <w:numFmt w:val="lowerLetter"/>
      <w:lvlText w:val="%2."/>
      <w:lvlJc w:val="left"/>
      <w:pPr>
        <w:ind w:left="2458" w:hanging="360"/>
      </w:pPr>
    </w:lvl>
    <w:lvl w:ilvl="2" w:tplc="0409001B" w:tentative="1">
      <w:start w:val="1"/>
      <w:numFmt w:val="lowerRoman"/>
      <w:lvlText w:val="%3."/>
      <w:lvlJc w:val="right"/>
      <w:pPr>
        <w:ind w:left="3178" w:hanging="180"/>
      </w:pPr>
    </w:lvl>
    <w:lvl w:ilvl="3" w:tplc="0409000F" w:tentative="1">
      <w:start w:val="1"/>
      <w:numFmt w:val="decimal"/>
      <w:lvlText w:val="%4."/>
      <w:lvlJc w:val="left"/>
      <w:pPr>
        <w:ind w:left="3898" w:hanging="360"/>
      </w:pPr>
    </w:lvl>
    <w:lvl w:ilvl="4" w:tplc="04090019" w:tentative="1">
      <w:start w:val="1"/>
      <w:numFmt w:val="lowerLetter"/>
      <w:lvlText w:val="%5."/>
      <w:lvlJc w:val="left"/>
      <w:pPr>
        <w:ind w:left="4618" w:hanging="360"/>
      </w:pPr>
    </w:lvl>
    <w:lvl w:ilvl="5" w:tplc="0409001B" w:tentative="1">
      <w:start w:val="1"/>
      <w:numFmt w:val="lowerRoman"/>
      <w:lvlText w:val="%6."/>
      <w:lvlJc w:val="right"/>
      <w:pPr>
        <w:ind w:left="5338" w:hanging="180"/>
      </w:pPr>
    </w:lvl>
    <w:lvl w:ilvl="6" w:tplc="0409000F" w:tentative="1">
      <w:start w:val="1"/>
      <w:numFmt w:val="decimal"/>
      <w:lvlText w:val="%7."/>
      <w:lvlJc w:val="left"/>
      <w:pPr>
        <w:ind w:left="6058" w:hanging="360"/>
      </w:pPr>
    </w:lvl>
    <w:lvl w:ilvl="7" w:tplc="04090019" w:tentative="1">
      <w:start w:val="1"/>
      <w:numFmt w:val="lowerLetter"/>
      <w:lvlText w:val="%8."/>
      <w:lvlJc w:val="left"/>
      <w:pPr>
        <w:ind w:left="6778" w:hanging="360"/>
      </w:pPr>
    </w:lvl>
    <w:lvl w:ilvl="8" w:tplc="0409001B" w:tentative="1">
      <w:start w:val="1"/>
      <w:numFmt w:val="lowerRoman"/>
      <w:lvlText w:val="%9."/>
      <w:lvlJc w:val="right"/>
      <w:pPr>
        <w:ind w:left="7498" w:hanging="180"/>
      </w:pPr>
    </w:lvl>
  </w:abstractNum>
  <w:abstractNum w:abstractNumId="21">
    <w:nsid w:val="493E0B5F"/>
    <w:multiLevelType w:val="hybridMultilevel"/>
    <w:tmpl w:val="9618A9D8"/>
    <w:lvl w:ilvl="0" w:tplc="73C00D4C">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4A916222"/>
    <w:multiLevelType w:val="hybridMultilevel"/>
    <w:tmpl w:val="F8289848"/>
    <w:lvl w:ilvl="0" w:tplc="91C6E82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C620A"/>
    <w:multiLevelType w:val="hybridMultilevel"/>
    <w:tmpl w:val="E806EB22"/>
    <w:lvl w:ilvl="0" w:tplc="5F6896F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9125C0"/>
    <w:multiLevelType w:val="hybridMultilevel"/>
    <w:tmpl w:val="D300431A"/>
    <w:lvl w:ilvl="0" w:tplc="45D6A1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C4B9A"/>
    <w:multiLevelType w:val="hybridMultilevel"/>
    <w:tmpl w:val="F10A8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03E1878"/>
    <w:multiLevelType w:val="hybridMultilevel"/>
    <w:tmpl w:val="A63021E4"/>
    <w:lvl w:ilvl="0" w:tplc="277E8E60">
      <w:start w:val="1"/>
      <w:numFmt w:val="hebrew1"/>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9055BD"/>
    <w:multiLevelType w:val="hybridMultilevel"/>
    <w:tmpl w:val="D8805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2A30A66"/>
    <w:multiLevelType w:val="hybridMultilevel"/>
    <w:tmpl w:val="A70E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4360E"/>
    <w:multiLevelType w:val="hybridMultilevel"/>
    <w:tmpl w:val="B6AED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83945D4"/>
    <w:multiLevelType w:val="hybridMultilevel"/>
    <w:tmpl w:val="039A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106978"/>
    <w:multiLevelType w:val="hybridMultilevel"/>
    <w:tmpl w:val="4D6CB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B361EC"/>
    <w:multiLevelType w:val="hybridMultilevel"/>
    <w:tmpl w:val="355A2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1C1827"/>
    <w:multiLevelType w:val="hybridMultilevel"/>
    <w:tmpl w:val="CC2EAB40"/>
    <w:lvl w:ilvl="0" w:tplc="31A04F54">
      <w:start w:val="1"/>
      <w:numFmt w:val="hebrew1"/>
      <w:lvlText w:val="%1."/>
      <w:lvlJc w:val="left"/>
      <w:pPr>
        <w:ind w:left="1440" w:hanging="360"/>
      </w:pPr>
      <w:rPr>
        <w:rFonts w:asciiTheme="minorHAnsi" w:eastAsiaTheme="minorHAnsi" w:hAnsiTheme="minorHAnsi" w:cs="Dav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80D05A2"/>
    <w:multiLevelType w:val="hybridMultilevel"/>
    <w:tmpl w:val="D9F66BA6"/>
    <w:lvl w:ilvl="0" w:tplc="2EBC2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9D5AB1"/>
    <w:multiLevelType w:val="hybridMultilevel"/>
    <w:tmpl w:val="4EA2F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8434C2"/>
    <w:multiLevelType w:val="hybridMultilevel"/>
    <w:tmpl w:val="B902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6336F4"/>
    <w:multiLevelType w:val="hybridMultilevel"/>
    <w:tmpl w:val="D154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68D5F2E"/>
    <w:multiLevelType w:val="hybridMultilevel"/>
    <w:tmpl w:val="F8521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E9161FB"/>
    <w:multiLevelType w:val="hybridMultilevel"/>
    <w:tmpl w:val="3FCCE2A0"/>
    <w:lvl w:ilvl="0" w:tplc="5742EB5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ED05825"/>
    <w:multiLevelType w:val="hybridMultilevel"/>
    <w:tmpl w:val="26E210A6"/>
    <w:lvl w:ilvl="0" w:tplc="F59646B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F5C4E3E"/>
    <w:multiLevelType w:val="hybridMultilevel"/>
    <w:tmpl w:val="51407E3C"/>
    <w:lvl w:ilvl="0" w:tplc="022483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640457"/>
    <w:multiLevelType w:val="hybridMultilevel"/>
    <w:tmpl w:val="6C8E147C"/>
    <w:lvl w:ilvl="0" w:tplc="19B0C02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7FB521BC"/>
    <w:multiLevelType w:val="hybridMultilevel"/>
    <w:tmpl w:val="06FC340E"/>
    <w:lvl w:ilvl="0" w:tplc="3CB8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4"/>
  </w:num>
  <w:num w:numId="3">
    <w:abstractNumId w:val="33"/>
  </w:num>
  <w:num w:numId="4">
    <w:abstractNumId w:val="4"/>
  </w:num>
  <w:num w:numId="5">
    <w:abstractNumId w:val="36"/>
  </w:num>
  <w:num w:numId="6">
    <w:abstractNumId w:val="32"/>
  </w:num>
  <w:num w:numId="7">
    <w:abstractNumId w:val="31"/>
  </w:num>
  <w:num w:numId="8">
    <w:abstractNumId w:val="28"/>
  </w:num>
  <w:num w:numId="9">
    <w:abstractNumId w:val="3"/>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3"/>
  </w:num>
  <w:num w:numId="31">
    <w:abstractNumId w:val="21"/>
  </w:num>
  <w:num w:numId="32">
    <w:abstractNumId w:val="0"/>
  </w:num>
  <w:num w:numId="33">
    <w:abstractNumId w:val="8"/>
  </w:num>
  <w:num w:numId="34">
    <w:abstractNumId w:val="20"/>
  </w:num>
  <w:num w:numId="35">
    <w:abstractNumId w:val="16"/>
  </w:num>
  <w:num w:numId="36">
    <w:abstractNumId w:val="24"/>
  </w:num>
  <w:num w:numId="37">
    <w:abstractNumId w:val="22"/>
  </w:num>
  <w:num w:numId="38">
    <w:abstractNumId w:val="18"/>
  </w:num>
  <w:num w:numId="39">
    <w:abstractNumId w:val="43"/>
  </w:num>
  <w:num w:numId="40">
    <w:abstractNumId w:val="6"/>
  </w:num>
  <w:num w:numId="41">
    <w:abstractNumId w:val="26"/>
  </w:num>
  <w:num w:numId="42">
    <w:abstractNumId w:val="41"/>
  </w:num>
  <w:num w:numId="43">
    <w:abstractNumId w:val="13"/>
  </w:num>
  <w:num w:numId="44">
    <w:abstractNumId w:val="35"/>
  </w:num>
  <w:num w:numId="45">
    <w:abstractNumId w:val="10"/>
  </w:num>
  <w:num w:numId="46">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16D25"/>
    <w:rsid w:val="00032862"/>
    <w:rsid w:val="0003559A"/>
    <w:rsid w:val="000363BD"/>
    <w:rsid w:val="0005138C"/>
    <w:rsid w:val="00057726"/>
    <w:rsid w:val="00064426"/>
    <w:rsid w:val="00067034"/>
    <w:rsid w:val="000711EB"/>
    <w:rsid w:val="000738AB"/>
    <w:rsid w:val="00074CE5"/>
    <w:rsid w:val="000836E1"/>
    <w:rsid w:val="00086534"/>
    <w:rsid w:val="000945A1"/>
    <w:rsid w:val="000A25BC"/>
    <w:rsid w:val="000B0A06"/>
    <w:rsid w:val="000C04AC"/>
    <w:rsid w:val="000E0AF4"/>
    <w:rsid w:val="000E2361"/>
    <w:rsid w:val="000E2818"/>
    <w:rsid w:val="000E2846"/>
    <w:rsid w:val="000E2D7F"/>
    <w:rsid w:val="000E635D"/>
    <w:rsid w:val="000F0A4E"/>
    <w:rsid w:val="000F5666"/>
    <w:rsid w:val="001040B2"/>
    <w:rsid w:val="00105D60"/>
    <w:rsid w:val="00110927"/>
    <w:rsid w:val="001149FD"/>
    <w:rsid w:val="00136F21"/>
    <w:rsid w:val="00141690"/>
    <w:rsid w:val="00141C1F"/>
    <w:rsid w:val="00142423"/>
    <w:rsid w:val="001528B5"/>
    <w:rsid w:val="001732EE"/>
    <w:rsid w:val="001750C2"/>
    <w:rsid w:val="00177F4F"/>
    <w:rsid w:val="00181A5B"/>
    <w:rsid w:val="001822E1"/>
    <w:rsid w:val="00191DBE"/>
    <w:rsid w:val="001C767B"/>
    <w:rsid w:val="001E6DAB"/>
    <w:rsid w:val="001F380B"/>
    <w:rsid w:val="00216E13"/>
    <w:rsid w:val="002540A4"/>
    <w:rsid w:val="00255E31"/>
    <w:rsid w:val="00273D67"/>
    <w:rsid w:val="00291642"/>
    <w:rsid w:val="00296691"/>
    <w:rsid w:val="002F0F21"/>
    <w:rsid w:val="002F42B7"/>
    <w:rsid w:val="00300BD0"/>
    <w:rsid w:val="003202F6"/>
    <w:rsid w:val="00327B3D"/>
    <w:rsid w:val="00357D7E"/>
    <w:rsid w:val="00364AAF"/>
    <w:rsid w:val="0036592B"/>
    <w:rsid w:val="003701A4"/>
    <w:rsid w:val="0037079A"/>
    <w:rsid w:val="003716B5"/>
    <w:rsid w:val="003A4E5D"/>
    <w:rsid w:val="003B16E1"/>
    <w:rsid w:val="003E11E4"/>
    <w:rsid w:val="003F00CA"/>
    <w:rsid w:val="0042093B"/>
    <w:rsid w:val="00431510"/>
    <w:rsid w:val="00441C02"/>
    <w:rsid w:val="00445DDE"/>
    <w:rsid w:val="00447CBD"/>
    <w:rsid w:val="00455E77"/>
    <w:rsid w:val="00477285"/>
    <w:rsid w:val="004A1D72"/>
    <w:rsid w:val="004B6D28"/>
    <w:rsid w:val="004B7889"/>
    <w:rsid w:val="004D1A4F"/>
    <w:rsid w:val="004E653C"/>
    <w:rsid w:val="004F370E"/>
    <w:rsid w:val="005053DB"/>
    <w:rsid w:val="005071DC"/>
    <w:rsid w:val="00507D74"/>
    <w:rsid w:val="0052484C"/>
    <w:rsid w:val="00526E39"/>
    <w:rsid w:val="00527EA3"/>
    <w:rsid w:val="00536E47"/>
    <w:rsid w:val="00552BEB"/>
    <w:rsid w:val="00583630"/>
    <w:rsid w:val="005A7E0C"/>
    <w:rsid w:val="005B1FE5"/>
    <w:rsid w:val="005C14D9"/>
    <w:rsid w:val="005D2079"/>
    <w:rsid w:val="005F7FCF"/>
    <w:rsid w:val="00604254"/>
    <w:rsid w:val="00613AFB"/>
    <w:rsid w:val="006154DB"/>
    <w:rsid w:val="0062718C"/>
    <w:rsid w:val="0063276A"/>
    <w:rsid w:val="006414F2"/>
    <w:rsid w:val="00644924"/>
    <w:rsid w:val="0065582D"/>
    <w:rsid w:val="006575E9"/>
    <w:rsid w:val="00664FBA"/>
    <w:rsid w:val="00671A58"/>
    <w:rsid w:val="0067567C"/>
    <w:rsid w:val="00693015"/>
    <w:rsid w:val="006A12B0"/>
    <w:rsid w:val="006A1EB0"/>
    <w:rsid w:val="006A45C1"/>
    <w:rsid w:val="006C64D2"/>
    <w:rsid w:val="006D24A4"/>
    <w:rsid w:val="006F096A"/>
    <w:rsid w:val="006F2E48"/>
    <w:rsid w:val="006F5E4B"/>
    <w:rsid w:val="00702A1C"/>
    <w:rsid w:val="00705FCC"/>
    <w:rsid w:val="007073C1"/>
    <w:rsid w:val="00725398"/>
    <w:rsid w:val="00725A43"/>
    <w:rsid w:val="00730C72"/>
    <w:rsid w:val="007340B9"/>
    <w:rsid w:val="0074281D"/>
    <w:rsid w:val="00746D2D"/>
    <w:rsid w:val="00755965"/>
    <w:rsid w:val="00761698"/>
    <w:rsid w:val="0077222F"/>
    <w:rsid w:val="00773583"/>
    <w:rsid w:val="00777F80"/>
    <w:rsid w:val="007A4CDA"/>
    <w:rsid w:val="007C61DA"/>
    <w:rsid w:val="007D2808"/>
    <w:rsid w:val="007F7F49"/>
    <w:rsid w:val="008229E1"/>
    <w:rsid w:val="00834C62"/>
    <w:rsid w:val="008630BF"/>
    <w:rsid w:val="00892E3F"/>
    <w:rsid w:val="008954AF"/>
    <w:rsid w:val="008A22CD"/>
    <w:rsid w:val="008B5CC5"/>
    <w:rsid w:val="008C369A"/>
    <w:rsid w:val="0093791D"/>
    <w:rsid w:val="00944800"/>
    <w:rsid w:val="00953E39"/>
    <w:rsid w:val="00960595"/>
    <w:rsid w:val="00974906"/>
    <w:rsid w:val="00977C3F"/>
    <w:rsid w:val="00984DD0"/>
    <w:rsid w:val="009930E5"/>
    <w:rsid w:val="00993DC2"/>
    <w:rsid w:val="009949AD"/>
    <w:rsid w:val="009A22BC"/>
    <w:rsid w:val="009B043A"/>
    <w:rsid w:val="009B295E"/>
    <w:rsid w:val="009D043D"/>
    <w:rsid w:val="009D0B64"/>
    <w:rsid w:val="009F1AC4"/>
    <w:rsid w:val="009F6F0D"/>
    <w:rsid w:val="00A019EF"/>
    <w:rsid w:val="00A0488D"/>
    <w:rsid w:val="00A05321"/>
    <w:rsid w:val="00A066A1"/>
    <w:rsid w:val="00A41A5F"/>
    <w:rsid w:val="00A4372D"/>
    <w:rsid w:val="00A43C18"/>
    <w:rsid w:val="00A46DCF"/>
    <w:rsid w:val="00A721A2"/>
    <w:rsid w:val="00A844E8"/>
    <w:rsid w:val="00A91570"/>
    <w:rsid w:val="00AB0B99"/>
    <w:rsid w:val="00AB4C0D"/>
    <w:rsid w:val="00AD68B9"/>
    <w:rsid w:val="00AF37D1"/>
    <w:rsid w:val="00B011D3"/>
    <w:rsid w:val="00B07C2D"/>
    <w:rsid w:val="00B2055A"/>
    <w:rsid w:val="00B20785"/>
    <w:rsid w:val="00B244CE"/>
    <w:rsid w:val="00B31679"/>
    <w:rsid w:val="00B3167D"/>
    <w:rsid w:val="00B33C8C"/>
    <w:rsid w:val="00B76492"/>
    <w:rsid w:val="00B83888"/>
    <w:rsid w:val="00B91B0D"/>
    <w:rsid w:val="00BA54A5"/>
    <w:rsid w:val="00BA7637"/>
    <w:rsid w:val="00BB5DC0"/>
    <w:rsid w:val="00BD6DCF"/>
    <w:rsid w:val="00BD76B7"/>
    <w:rsid w:val="00BE4178"/>
    <w:rsid w:val="00C13690"/>
    <w:rsid w:val="00C161B9"/>
    <w:rsid w:val="00C16961"/>
    <w:rsid w:val="00C22681"/>
    <w:rsid w:val="00C243AD"/>
    <w:rsid w:val="00C517BF"/>
    <w:rsid w:val="00C531CD"/>
    <w:rsid w:val="00C57676"/>
    <w:rsid w:val="00C7584E"/>
    <w:rsid w:val="00C83BB4"/>
    <w:rsid w:val="00C94B0F"/>
    <w:rsid w:val="00C957B6"/>
    <w:rsid w:val="00CA78F9"/>
    <w:rsid w:val="00CA7CA4"/>
    <w:rsid w:val="00CC19E2"/>
    <w:rsid w:val="00CC1BA0"/>
    <w:rsid w:val="00CE47B9"/>
    <w:rsid w:val="00CE4C14"/>
    <w:rsid w:val="00CF597C"/>
    <w:rsid w:val="00D0419F"/>
    <w:rsid w:val="00D154EF"/>
    <w:rsid w:val="00D16042"/>
    <w:rsid w:val="00D24CA0"/>
    <w:rsid w:val="00D26696"/>
    <w:rsid w:val="00D3167C"/>
    <w:rsid w:val="00D44F75"/>
    <w:rsid w:val="00D50990"/>
    <w:rsid w:val="00D54A48"/>
    <w:rsid w:val="00D62713"/>
    <w:rsid w:val="00D8578E"/>
    <w:rsid w:val="00DA091A"/>
    <w:rsid w:val="00DA3B20"/>
    <w:rsid w:val="00DA71B8"/>
    <w:rsid w:val="00DC36EB"/>
    <w:rsid w:val="00DC3D9A"/>
    <w:rsid w:val="00DD74F9"/>
    <w:rsid w:val="00DE193C"/>
    <w:rsid w:val="00DF5A11"/>
    <w:rsid w:val="00E17F97"/>
    <w:rsid w:val="00E408D0"/>
    <w:rsid w:val="00E42A69"/>
    <w:rsid w:val="00E43EE9"/>
    <w:rsid w:val="00E45731"/>
    <w:rsid w:val="00E509B3"/>
    <w:rsid w:val="00E55D8E"/>
    <w:rsid w:val="00E61CD3"/>
    <w:rsid w:val="00E819FF"/>
    <w:rsid w:val="00E90188"/>
    <w:rsid w:val="00E91741"/>
    <w:rsid w:val="00EA2D9B"/>
    <w:rsid w:val="00EA5EB3"/>
    <w:rsid w:val="00ED193C"/>
    <w:rsid w:val="00ED2B51"/>
    <w:rsid w:val="00F13610"/>
    <w:rsid w:val="00F172F9"/>
    <w:rsid w:val="00F262C5"/>
    <w:rsid w:val="00F263B2"/>
    <w:rsid w:val="00F37D01"/>
    <w:rsid w:val="00F418E1"/>
    <w:rsid w:val="00F45808"/>
    <w:rsid w:val="00F47B0F"/>
    <w:rsid w:val="00F624A4"/>
    <w:rsid w:val="00F64CAB"/>
    <w:rsid w:val="00F81D7C"/>
    <w:rsid w:val="00F8514F"/>
    <w:rsid w:val="00F85C08"/>
    <w:rsid w:val="00F943F7"/>
    <w:rsid w:val="00F95D4D"/>
    <w:rsid w:val="00FB0E02"/>
    <w:rsid w:val="00FB77CA"/>
    <w:rsid w:val="00FC6956"/>
    <w:rsid w:val="00FE7BE3"/>
    <w:rsid w:val="00FF2A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B3978-7CCC-4AB4-BCF0-F1AEC4BC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69"/>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6144">
      <w:bodyDiv w:val="1"/>
      <w:marLeft w:val="0"/>
      <w:marRight w:val="0"/>
      <w:marTop w:val="0"/>
      <w:marBottom w:val="0"/>
      <w:divBdr>
        <w:top w:val="none" w:sz="0" w:space="0" w:color="auto"/>
        <w:left w:val="none" w:sz="0" w:space="0" w:color="auto"/>
        <w:bottom w:val="none" w:sz="0" w:space="0" w:color="auto"/>
        <w:right w:val="none" w:sz="0" w:space="0" w:color="auto"/>
      </w:divBdr>
    </w:div>
    <w:div w:id="568541533">
      <w:bodyDiv w:val="1"/>
      <w:marLeft w:val="0"/>
      <w:marRight w:val="0"/>
      <w:marTop w:val="0"/>
      <w:marBottom w:val="0"/>
      <w:divBdr>
        <w:top w:val="none" w:sz="0" w:space="0" w:color="auto"/>
        <w:left w:val="none" w:sz="0" w:space="0" w:color="auto"/>
        <w:bottom w:val="none" w:sz="0" w:space="0" w:color="auto"/>
        <w:right w:val="none" w:sz="0" w:space="0" w:color="auto"/>
      </w:divBdr>
      <w:divsChild>
        <w:div w:id="1504978477">
          <w:marLeft w:val="0"/>
          <w:marRight w:val="547"/>
          <w:marTop w:val="0"/>
          <w:marBottom w:val="0"/>
          <w:divBdr>
            <w:top w:val="none" w:sz="0" w:space="0" w:color="auto"/>
            <w:left w:val="none" w:sz="0" w:space="0" w:color="auto"/>
            <w:bottom w:val="none" w:sz="0" w:space="0" w:color="auto"/>
            <w:right w:val="none" w:sz="0" w:space="0" w:color="auto"/>
          </w:divBdr>
        </w:div>
      </w:divsChild>
    </w:div>
    <w:div w:id="1181580548">
      <w:bodyDiv w:val="1"/>
      <w:marLeft w:val="0"/>
      <w:marRight w:val="0"/>
      <w:marTop w:val="0"/>
      <w:marBottom w:val="0"/>
      <w:divBdr>
        <w:top w:val="none" w:sz="0" w:space="0" w:color="auto"/>
        <w:left w:val="none" w:sz="0" w:space="0" w:color="auto"/>
        <w:bottom w:val="none" w:sz="0" w:space="0" w:color="auto"/>
        <w:right w:val="none" w:sz="0" w:space="0" w:color="auto"/>
      </w:divBdr>
      <w:divsChild>
        <w:div w:id="1260527103">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35CB9-47B1-4952-BAD3-DB24D26A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2760</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רחל</dc:creator>
  <cp:lastModifiedBy>רחל</cp:lastModifiedBy>
  <cp:revision>6</cp:revision>
  <dcterms:created xsi:type="dcterms:W3CDTF">2014-04-07T12:00:00Z</dcterms:created>
  <dcterms:modified xsi:type="dcterms:W3CDTF">2014-04-07T13:55:00Z</dcterms:modified>
</cp:coreProperties>
</file>