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D" w:rsidRPr="000836E1" w:rsidRDefault="009B295E" w:rsidP="000836E1">
      <w:pPr>
        <w:spacing w:line="360" w:lineRule="auto"/>
        <w:jc w:val="center"/>
        <w:rPr>
          <w:rFonts w:cs="David"/>
          <w:b/>
          <w:bCs/>
          <w:sz w:val="24"/>
          <w:szCs w:val="24"/>
          <w:u w:val="single"/>
        </w:rPr>
      </w:pPr>
      <w:r w:rsidRPr="000836E1">
        <w:rPr>
          <w:rFonts w:cs="David" w:hint="cs"/>
          <w:b/>
          <w:bCs/>
          <w:sz w:val="24"/>
          <w:szCs w:val="24"/>
          <w:u w:val="single"/>
          <w:rtl/>
        </w:rPr>
        <w:t>מיסים למתקדמים א</w:t>
      </w:r>
      <w:r w:rsidR="00B83888" w:rsidRPr="000836E1">
        <w:rPr>
          <w:rFonts w:cs="David" w:hint="cs"/>
          <w:b/>
          <w:bCs/>
          <w:sz w:val="24"/>
          <w:szCs w:val="24"/>
          <w:u w:val="single"/>
          <w:rtl/>
        </w:rPr>
        <w:t xml:space="preserve">' </w:t>
      </w:r>
      <w:r w:rsidR="00B83888" w:rsidRPr="000836E1">
        <w:rPr>
          <w:rFonts w:cs="David"/>
          <w:b/>
          <w:bCs/>
          <w:sz w:val="24"/>
          <w:szCs w:val="24"/>
          <w:u w:val="single"/>
          <w:rtl/>
        </w:rPr>
        <w:t>–</w:t>
      </w:r>
      <w:r w:rsidR="00D26696" w:rsidRPr="000836E1">
        <w:rPr>
          <w:rFonts w:cs="David" w:hint="cs"/>
          <w:b/>
          <w:bCs/>
          <w:sz w:val="24"/>
          <w:szCs w:val="24"/>
          <w:u w:val="single"/>
          <w:rtl/>
        </w:rPr>
        <w:t xml:space="preserve"> שיעור 2</w:t>
      </w:r>
    </w:p>
    <w:p w:rsidR="0052484C" w:rsidRPr="000836E1" w:rsidRDefault="0052484C" w:rsidP="000836E1">
      <w:pPr>
        <w:spacing w:line="360" w:lineRule="auto"/>
        <w:jc w:val="both"/>
        <w:rPr>
          <w:rFonts w:cs="David"/>
          <w:b/>
          <w:bCs/>
          <w:sz w:val="24"/>
          <w:szCs w:val="24"/>
          <w:u w:val="single"/>
          <w:rtl/>
        </w:rPr>
      </w:pPr>
      <w:r w:rsidRPr="000836E1">
        <w:rPr>
          <w:rFonts w:cs="David" w:hint="cs"/>
          <w:b/>
          <w:bCs/>
          <w:sz w:val="24"/>
          <w:szCs w:val="24"/>
          <w:u w:val="single"/>
          <w:rtl/>
        </w:rPr>
        <w:t xml:space="preserve">סעיף 104ד </w:t>
      </w:r>
      <w:r w:rsidRPr="000836E1">
        <w:rPr>
          <w:rFonts w:cs="David"/>
          <w:b/>
          <w:bCs/>
          <w:sz w:val="24"/>
          <w:szCs w:val="24"/>
          <w:u w:val="single"/>
          <w:rtl/>
        </w:rPr>
        <w:t>–</w:t>
      </w:r>
      <w:r w:rsidRPr="000836E1">
        <w:rPr>
          <w:rFonts w:cs="David" w:hint="cs"/>
          <w:b/>
          <w:bCs/>
          <w:sz w:val="24"/>
          <w:szCs w:val="24"/>
          <w:u w:val="single"/>
          <w:rtl/>
        </w:rPr>
        <w:t xml:space="preserve"> הפרה </w:t>
      </w:r>
      <w:r w:rsidR="00DE193C" w:rsidRPr="000836E1">
        <w:rPr>
          <w:rFonts w:cs="David" w:hint="cs"/>
          <w:b/>
          <w:bCs/>
          <w:sz w:val="24"/>
          <w:szCs w:val="24"/>
          <w:u w:val="single"/>
          <w:rtl/>
        </w:rPr>
        <w:t>מותרת שינוי בזכויות בתקופת המגבלות</w:t>
      </w:r>
    </w:p>
    <w:p w:rsidR="00DE193C" w:rsidRPr="000836E1" w:rsidRDefault="00DE193C" w:rsidP="000836E1">
      <w:pPr>
        <w:spacing w:line="360" w:lineRule="auto"/>
        <w:jc w:val="both"/>
        <w:rPr>
          <w:rFonts w:cs="David"/>
          <w:sz w:val="24"/>
          <w:szCs w:val="24"/>
          <w:rtl/>
        </w:rPr>
      </w:pPr>
      <w:r w:rsidRPr="000836E1">
        <w:rPr>
          <w:rFonts w:cs="David" w:hint="cs"/>
          <w:sz w:val="24"/>
          <w:szCs w:val="24"/>
          <w:rtl/>
        </w:rPr>
        <w:t xml:space="preserve">התנאי הבסיסי לביצוע העברת נכסים הינו החזקה במשך שנתיים במניות. מטרת הסעיף </w:t>
      </w:r>
      <w:bookmarkStart w:id="0" w:name="_GoBack"/>
      <w:bookmarkEnd w:id="0"/>
      <w:r w:rsidRPr="000836E1">
        <w:rPr>
          <w:rFonts w:cs="David" w:hint="cs"/>
          <w:sz w:val="24"/>
          <w:szCs w:val="24"/>
          <w:rtl/>
        </w:rPr>
        <w:t xml:space="preserve">היא להקל במקרים מסוימים של העברת נכסים  </w:t>
      </w:r>
    </w:p>
    <w:p w:rsidR="00DE193C" w:rsidRPr="000836E1" w:rsidRDefault="00DE193C" w:rsidP="000836E1">
      <w:pPr>
        <w:spacing w:line="360" w:lineRule="auto"/>
        <w:jc w:val="both"/>
        <w:rPr>
          <w:rFonts w:cs="David"/>
          <w:sz w:val="24"/>
          <w:szCs w:val="24"/>
          <w:rtl/>
        </w:rPr>
      </w:pPr>
      <w:r w:rsidRPr="000836E1">
        <w:rPr>
          <w:rFonts w:cs="David" w:hint="cs"/>
          <w:b/>
          <w:bCs/>
          <w:sz w:val="24"/>
          <w:szCs w:val="24"/>
          <w:rtl/>
        </w:rPr>
        <w:t xml:space="preserve">104ד(1) </w:t>
      </w:r>
      <w:r w:rsidRPr="000836E1">
        <w:rPr>
          <w:rFonts w:cs="David" w:hint="cs"/>
          <w:sz w:val="24"/>
          <w:szCs w:val="24"/>
          <w:rtl/>
        </w:rPr>
        <w:t>הסעיף מאפשר שינוי בזכויות בתקופת המגבלות בתנאים הבאים:</w:t>
      </w:r>
    </w:p>
    <w:p w:rsidR="00DE193C" w:rsidRPr="000836E1" w:rsidRDefault="00DE193C" w:rsidP="00EA2D9B">
      <w:pPr>
        <w:pStyle w:val="a7"/>
        <w:numPr>
          <w:ilvl w:val="0"/>
          <w:numId w:val="1"/>
        </w:numPr>
        <w:spacing w:line="360" w:lineRule="auto"/>
        <w:jc w:val="both"/>
        <w:rPr>
          <w:rFonts w:cs="David"/>
          <w:sz w:val="24"/>
          <w:szCs w:val="24"/>
        </w:rPr>
      </w:pPr>
      <w:r w:rsidRPr="000836E1">
        <w:rPr>
          <w:rFonts w:cs="David" w:hint="cs"/>
          <w:sz w:val="24"/>
          <w:szCs w:val="24"/>
          <w:rtl/>
        </w:rPr>
        <w:t xml:space="preserve">מגבלת העל </w:t>
      </w:r>
      <w:r w:rsidRPr="000836E1">
        <w:rPr>
          <w:rFonts w:cs="David"/>
          <w:sz w:val="24"/>
          <w:szCs w:val="24"/>
          <w:rtl/>
        </w:rPr>
        <w:t>–</w:t>
      </w:r>
      <w:r w:rsidRPr="000836E1">
        <w:rPr>
          <w:rFonts w:cs="David" w:hint="cs"/>
          <w:sz w:val="24"/>
          <w:szCs w:val="24"/>
          <w:rtl/>
        </w:rPr>
        <w:t xml:space="preserve"> בשום מועד במהלך התקופה הנדרשת (שנתיים) לא יופחתו הזכויות של מי שהיו בעלי הזכויות בנכס המועבר מ51% מכל אחת מהזכויות ובנוסף התקיימו אלו :</w:t>
      </w:r>
    </w:p>
    <w:p w:rsidR="00DE193C" w:rsidRPr="000836E1" w:rsidRDefault="00DE193C" w:rsidP="00EA2D9B">
      <w:pPr>
        <w:pStyle w:val="a7"/>
        <w:numPr>
          <w:ilvl w:val="0"/>
          <w:numId w:val="2"/>
        </w:numPr>
        <w:spacing w:line="360" w:lineRule="auto"/>
        <w:jc w:val="both"/>
        <w:rPr>
          <w:rFonts w:cs="David"/>
          <w:sz w:val="24"/>
          <w:szCs w:val="24"/>
        </w:rPr>
      </w:pPr>
      <w:r w:rsidRPr="000836E1">
        <w:rPr>
          <w:rFonts w:cs="David" w:hint="cs"/>
          <w:sz w:val="24"/>
          <w:szCs w:val="24"/>
          <w:rtl/>
        </w:rPr>
        <w:t xml:space="preserve">הקצאת מניות לפי תשקיף לפי סעיף </w:t>
      </w:r>
      <w:r w:rsidRPr="000836E1">
        <w:rPr>
          <w:rFonts w:cs="David" w:hint="cs"/>
          <w:b/>
          <w:bCs/>
          <w:sz w:val="24"/>
          <w:szCs w:val="24"/>
          <w:rtl/>
        </w:rPr>
        <w:t>104ד(1)(א)</w:t>
      </w:r>
      <w:r w:rsidRPr="000836E1">
        <w:rPr>
          <w:rFonts w:cs="David" w:hint="cs"/>
          <w:sz w:val="24"/>
          <w:szCs w:val="24"/>
          <w:rtl/>
        </w:rPr>
        <w:t>- ניתן להנפיק לציבור בבורסה עד 49% מהזכויות בחברה</w:t>
      </w:r>
    </w:p>
    <w:p w:rsidR="00DE193C" w:rsidRPr="000836E1" w:rsidRDefault="00DE193C" w:rsidP="00EA2D9B">
      <w:pPr>
        <w:pStyle w:val="a7"/>
        <w:numPr>
          <w:ilvl w:val="0"/>
          <w:numId w:val="2"/>
        </w:numPr>
        <w:spacing w:line="360" w:lineRule="auto"/>
        <w:jc w:val="both"/>
        <w:rPr>
          <w:rFonts w:cs="David"/>
          <w:sz w:val="24"/>
          <w:szCs w:val="24"/>
        </w:rPr>
      </w:pPr>
      <w:r w:rsidRPr="000836E1">
        <w:rPr>
          <w:rFonts w:cs="David" w:hint="cs"/>
          <w:sz w:val="24"/>
          <w:szCs w:val="24"/>
          <w:rtl/>
        </w:rPr>
        <w:t xml:space="preserve">הנפקה לצד ג' באמצעות הקצאת מניות חדשות (לא בבורסה) לפי </w:t>
      </w:r>
      <w:r w:rsidRPr="000836E1">
        <w:rPr>
          <w:rFonts w:cs="David" w:hint="cs"/>
          <w:b/>
          <w:bCs/>
          <w:sz w:val="24"/>
          <w:szCs w:val="24"/>
          <w:rtl/>
        </w:rPr>
        <w:t xml:space="preserve">104ד(1)(ג) </w:t>
      </w:r>
      <w:r w:rsidRPr="000836E1">
        <w:rPr>
          <w:rFonts w:cs="David" w:hint="cs"/>
          <w:sz w:val="24"/>
          <w:szCs w:val="24"/>
          <w:rtl/>
        </w:rPr>
        <w:t xml:space="preserve">ניתן להקצות למי שלא היה בעל זכויות בחברה לפני ההקצאה כלומר הקצאה של עד 25% מתוך 125% שהם בעצם 20% אחרי ההנפקה למשל: </w:t>
      </w:r>
      <w:r w:rsidRPr="000836E1">
        <w:rPr>
          <w:rFonts w:cs="David" w:hint="cs"/>
          <w:b/>
          <w:bCs/>
          <w:sz w:val="24"/>
          <w:szCs w:val="24"/>
          <w:rtl/>
        </w:rPr>
        <w:t xml:space="preserve">לחברה 100 מניות 1 ₪ ע.נ המהוות 100% מהון המניות של החברה . לאחר שביצעה 104א החברה מעוניינת להנפיק מניות חדשות למשקיע חיצוני כמה מניות ניתן להנפיק מבלי להפר את הוראות סעיף 104א </w:t>
      </w:r>
      <w:r w:rsidRPr="000836E1">
        <w:rPr>
          <w:rFonts w:cs="David" w:hint="cs"/>
          <w:sz w:val="24"/>
          <w:szCs w:val="24"/>
          <w:rtl/>
        </w:rPr>
        <w:t xml:space="preserve">התשובה היא 25 מניות </w:t>
      </w:r>
      <m:oMath>
        <m:r>
          <m:rPr>
            <m:sty m:val="p"/>
          </m:rPr>
          <w:rPr>
            <w:rFonts w:ascii="Cambria Math" w:hAnsi="Cambria Math" w:cs="David"/>
            <w:sz w:val="24"/>
            <w:szCs w:val="24"/>
          </w:rPr>
          <m:t>100+25=1</m:t>
        </m:r>
        <m:r>
          <w:rPr>
            <w:rFonts w:ascii="Cambria Math" w:hAnsi="Cambria Math" w:cs="David"/>
            <w:sz w:val="24"/>
            <w:szCs w:val="24"/>
          </w:rPr>
          <m:t>25</m:t>
        </m:r>
      </m:oMath>
      <w:r w:rsidRPr="000836E1">
        <w:rPr>
          <w:rFonts w:cs="David" w:hint="cs"/>
          <w:sz w:val="24"/>
          <w:szCs w:val="24"/>
          <w:rtl/>
        </w:rPr>
        <w:t xml:space="preserve"> מניות </w:t>
      </w:r>
      <m:oMath>
        <m:f>
          <m:fPr>
            <m:ctrlPr>
              <w:rPr>
                <w:rFonts w:ascii="Cambria Math" w:hAnsi="Cambria Math" w:cs="David"/>
                <w:sz w:val="24"/>
                <w:szCs w:val="24"/>
              </w:rPr>
            </m:ctrlPr>
          </m:fPr>
          <m:num>
            <m:r>
              <m:rPr>
                <m:sty m:val="p"/>
              </m:rPr>
              <w:rPr>
                <w:rFonts w:ascii="Cambria Math" w:hAnsi="Cambria Math" w:cs="David"/>
                <w:sz w:val="24"/>
                <w:szCs w:val="24"/>
              </w:rPr>
              <m:t>25</m:t>
            </m:r>
          </m:num>
          <m:den>
            <m:r>
              <m:rPr>
                <m:sty m:val="p"/>
              </m:rPr>
              <w:rPr>
                <w:rFonts w:ascii="Cambria Math" w:hAnsi="Cambria Math" w:cs="David"/>
                <w:sz w:val="24"/>
                <w:szCs w:val="24"/>
              </w:rPr>
              <m:t>125</m:t>
            </m:r>
          </m:den>
        </m:f>
        <m:r>
          <m:rPr>
            <m:sty m:val="p"/>
          </m:rPr>
          <w:rPr>
            <w:rFonts w:ascii="Cambria Math" w:hAnsi="Cambria Math" w:cs="David"/>
            <w:sz w:val="24"/>
            <w:szCs w:val="24"/>
          </w:rPr>
          <m:t>=20%</m:t>
        </m:r>
      </m:oMath>
      <w:r w:rsidRPr="000836E1">
        <w:rPr>
          <w:rFonts w:eastAsiaTheme="minorEastAsia" w:cs="David" w:hint="cs"/>
          <w:sz w:val="24"/>
          <w:szCs w:val="24"/>
          <w:rtl/>
        </w:rPr>
        <w:t xml:space="preserve"> . </w:t>
      </w:r>
    </w:p>
    <w:p w:rsidR="00C531CD" w:rsidRPr="000836E1" w:rsidRDefault="00DE193C" w:rsidP="00EA2D9B">
      <w:pPr>
        <w:pStyle w:val="a7"/>
        <w:numPr>
          <w:ilvl w:val="0"/>
          <w:numId w:val="2"/>
        </w:numPr>
        <w:spacing w:line="360" w:lineRule="auto"/>
        <w:jc w:val="both"/>
        <w:rPr>
          <w:rFonts w:cs="David"/>
          <w:sz w:val="24"/>
          <w:szCs w:val="24"/>
        </w:rPr>
      </w:pPr>
      <w:r w:rsidRPr="000836E1">
        <w:rPr>
          <w:rFonts w:eastAsiaTheme="minorEastAsia" w:cs="David" w:hint="cs"/>
          <w:sz w:val="24"/>
          <w:szCs w:val="24"/>
          <w:rtl/>
        </w:rPr>
        <w:t xml:space="preserve">מכירה של פחות מ10% לפי סעיף </w:t>
      </w:r>
      <w:r w:rsidRPr="000836E1">
        <w:rPr>
          <w:rFonts w:eastAsiaTheme="minorEastAsia" w:cs="David" w:hint="cs"/>
          <w:b/>
          <w:bCs/>
          <w:sz w:val="24"/>
          <w:szCs w:val="24"/>
          <w:rtl/>
        </w:rPr>
        <w:t xml:space="preserve">104ד(1)(ב) </w:t>
      </w:r>
      <w:r w:rsidRPr="000836E1">
        <w:rPr>
          <w:rFonts w:eastAsiaTheme="minorEastAsia" w:cs="David" w:hint="cs"/>
          <w:sz w:val="24"/>
          <w:szCs w:val="24"/>
          <w:rtl/>
        </w:rPr>
        <w:t xml:space="preserve">לאחר ההעברה יכול אחד או יותר מבעלי הזכויות למכור במכירה מרצון 10% מהזכויות </w:t>
      </w:r>
      <w:r w:rsidR="00C531CD" w:rsidRPr="000836E1">
        <w:rPr>
          <w:rFonts w:eastAsiaTheme="minorEastAsia" w:cs="David" w:hint="cs"/>
          <w:sz w:val="24"/>
          <w:szCs w:val="24"/>
          <w:rtl/>
        </w:rPr>
        <w:t xml:space="preserve">שהיו לו בחברה ובהסכמת בעלי מניות אחרים הוא יכול למכור אחוז גבוה יותר ובלבד שקיבל הסכמתם של יתר בעלי הזכויות ושסה"כ סך הזכויות שנמכרו לא יעלה על 10% מהזכויות בחברה. ז"א למשל : </w:t>
      </w:r>
    </w:p>
    <w:p w:rsidR="00DE193C" w:rsidRPr="000836E1" w:rsidRDefault="00C531CD" w:rsidP="000836E1">
      <w:pPr>
        <w:pStyle w:val="a7"/>
        <w:spacing w:line="360" w:lineRule="auto"/>
        <w:ind w:left="1080"/>
        <w:jc w:val="both"/>
        <w:rPr>
          <w:rFonts w:cs="David"/>
          <w:sz w:val="24"/>
          <w:szCs w:val="24"/>
        </w:rPr>
      </w:pPr>
      <w:r w:rsidRPr="000836E1">
        <w:rPr>
          <w:rFonts w:eastAsiaTheme="minorEastAsia" w:cs="David" w:hint="cs"/>
          <w:noProof/>
          <w:sz w:val="24"/>
          <w:szCs w:val="24"/>
          <w:rtl/>
        </w:rPr>
        <w:drawing>
          <wp:inline distT="0" distB="0" distL="0" distR="0">
            <wp:extent cx="4627171" cy="1295867"/>
            <wp:effectExtent l="0" t="0" r="0" b="1905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E193C" w:rsidRPr="000836E1">
        <w:rPr>
          <w:rFonts w:eastAsiaTheme="minorEastAsia" w:cs="David" w:hint="cs"/>
          <w:sz w:val="24"/>
          <w:szCs w:val="24"/>
          <w:rtl/>
        </w:rPr>
        <w:t xml:space="preserve"> </w:t>
      </w:r>
    </w:p>
    <w:p w:rsidR="00DE193C" w:rsidRPr="000836E1" w:rsidRDefault="00C531CD" w:rsidP="000836E1">
      <w:pPr>
        <w:pStyle w:val="a7"/>
        <w:spacing w:line="360" w:lineRule="auto"/>
        <w:ind w:left="1080"/>
        <w:jc w:val="both"/>
        <w:rPr>
          <w:rFonts w:cs="David"/>
          <w:sz w:val="24"/>
          <w:szCs w:val="24"/>
          <w:rtl/>
        </w:rPr>
      </w:pPr>
      <w:r w:rsidRPr="000836E1">
        <w:rPr>
          <w:rFonts w:cs="David" w:hint="cs"/>
          <w:sz w:val="24"/>
          <w:szCs w:val="24"/>
          <w:rtl/>
        </w:rPr>
        <w:t>כל אחד מבעלי המניות יכול למכור עד 10% ממה שיש לו בחברה לאחר ההעברה כלומר א' יכול למכור 4% וב' יכול למכור 6% ובהסכמת כלל בע"מ כל אחד מהבעלים יכול למכור עד 10% מסך המניות בחברה (20%).</w:t>
      </w:r>
    </w:p>
    <w:p w:rsidR="00B76492" w:rsidRPr="000836E1" w:rsidRDefault="00B76492" w:rsidP="000836E1">
      <w:pPr>
        <w:pStyle w:val="a7"/>
        <w:spacing w:line="360" w:lineRule="auto"/>
        <w:ind w:left="1080"/>
        <w:jc w:val="both"/>
        <w:rPr>
          <w:rFonts w:cs="David"/>
          <w:b/>
          <w:bCs/>
          <w:sz w:val="24"/>
          <w:szCs w:val="24"/>
          <w:rtl/>
        </w:rPr>
      </w:pPr>
      <w:r w:rsidRPr="000836E1">
        <w:rPr>
          <w:rFonts w:cs="David" w:hint="cs"/>
          <w:sz w:val="24"/>
          <w:szCs w:val="24"/>
          <w:rtl/>
        </w:rPr>
        <w:t xml:space="preserve">כזכור למדנו כי לפי 104א יש חובה להחזיק ב90% לאחר המכירה לכל הפחות. נניח: </w:t>
      </w:r>
    </w:p>
    <w:p w:rsidR="00B76492" w:rsidRPr="000836E1" w:rsidRDefault="00B76492" w:rsidP="000836E1">
      <w:pPr>
        <w:pStyle w:val="a7"/>
        <w:spacing w:line="360" w:lineRule="auto"/>
        <w:ind w:left="1080"/>
        <w:jc w:val="both"/>
        <w:rPr>
          <w:rFonts w:cs="David"/>
          <w:b/>
          <w:bCs/>
          <w:sz w:val="24"/>
          <w:szCs w:val="24"/>
          <w:rtl/>
        </w:rPr>
      </w:pPr>
      <w:r w:rsidRPr="000836E1">
        <w:rPr>
          <w:rFonts w:eastAsiaTheme="minorEastAsia" w:cs="David" w:hint="cs"/>
          <w:noProof/>
          <w:sz w:val="24"/>
          <w:szCs w:val="24"/>
          <w:rtl/>
        </w:rPr>
        <w:drawing>
          <wp:inline distT="0" distB="0" distL="0" distR="0" wp14:anchorId="30DF134A" wp14:editId="78F3CBA8">
            <wp:extent cx="4503821" cy="1368795"/>
            <wp:effectExtent l="0" t="0" r="0" b="22225"/>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76492" w:rsidRPr="000836E1" w:rsidRDefault="00B76492" w:rsidP="000836E1">
      <w:pPr>
        <w:pStyle w:val="a7"/>
        <w:spacing w:line="360" w:lineRule="auto"/>
        <w:ind w:left="1080"/>
        <w:jc w:val="both"/>
        <w:rPr>
          <w:rFonts w:cs="David"/>
          <w:b/>
          <w:bCs/>
          <w:sz w:val="24"/>
          <w:szCs w:val="24"/>
          <w:rtl/>
        </w:rPr>
      </w:pPr>
      <w:r w:rsidRPr="000836E1">
        <w:rPr>
          <w:rFonts w:cs="David" w:hint="cs"/>
          <w:b/>
          <w:bCs/>
          <w:sz w:val="24"/>
          <w:szCs w:val="24"/>
          <w:rtl/>
        </w:rPr>
        <w:lastRenderedPageBreak/>
        <w:t>אפשרויות:</w:t>
      </w:r>
    </w:p>
    <w:p w:rsidR="00B76492" w:rsidRPr="000836E1" w:rsidRDefault="00B76492" w:rsidP="00EA2D9B">
      <w:pPr>
        <w:pStyle w:val="a7"/>
        <w:numPr>
          <w:ilvl w:val="0"/>
          <w:numId w:val="3"/>
        </w:numPr>
        <w:spacing w:line="360" w:lineRule="auto"/>
        <w:jc w:val="both"/>
        <w:rPr>
          <w:rFonts w:cs="David"/>
          <w:b/>
          <w:bCs/>
          <w:sz w:val="24"/>
          <w:szCs w:val="24"/>
        </w:rPr>
      </w:pPr>
      <w:r w:rsidRPr="000836E1">
        <w:rPr>
          <w:rFonts w:cs="David" w:hint="cs"/>
          <w:b/>
          <w:bCs/>
          <w:sz w:val="24"/>
          <w:szCs w:val="24"/>
          <w:rtl/>
        </w:rPr>
        <w:t>ניתן למכור 95%</w:t>
      </w:r>
    </w:p>
    <w:p w:rsidR="00B76492" w:rsidRPr="000836E1" w:rsidRDefault="00B76492" w:rsidP="00EA2D9B">
      <w:pPr>
        <w:pStyle w:val="a7"/>
        <w:numPr>
          <w:ilvl w:val="0"/>
          <w:numId w:val="3"/>
        </w:numPr>
        <w:spacing w:line="360" w:lineRule="auto"/>
        <w:jc w:val="both"/>
        <w:rPr>
          <w:rFonts w:cs="David"/>
          <w:b/>
          <w:bCs/>
          <w:sz w:val="24"/>
          <w:szCs w:val="24"/>
        </w:rPr>
      </w:pPr>
      <w:r w:rsidRPr="000836E1">
        <w:rPr>
          <w:rFonts w:cs="David" w:hint="cs"/>
          <w:b/>
          <w:bCs/>
          <w:sz w:val="24"/>
          <w:szCs w:val="24"/>
          <w:rtl/>
        </w:rPr>
        <w:t>ניתן למכור 10%</w:t>
      </w:r>
    </w:p>
    <w:p w:rsidR="00B76492" w:rsidRPr="000836E1" w:rsidRDefault="00B76492" w:rsidP="00EA2D9B">
      <w:pPr>
        <w:pStyle w:val="a7"/>
        <w:numPr>
          <w:ilvl w:val="0"/>
          <w:numId w:val="3"/>
        </w:numPr>
        <w:spacing w:line="360" w:lineRule="auto"/>
        <w:jc w:val="both"/>
        <w:rPr>
          <w:rFonts w:cs="David"/>
          <w:b/>
          <w:bCs/>
          <w:sz w:val="24"/>
          <w:szCs w:val="24"/>
        </w:rPr>
      </w:pPr>
      <w:r w:rsidRPr="000836E1">
        <w:rPr>
          <w:rFonts w:cs="David" w:hint="cs"/>
          <w:b/>
          <w:bCs/>
          <w:sz w:val="24"/>
          <w:szCs w:val="24"/>
          <w:rtl/>
        </w:rPr>
        <w:t>ניתן למכור 5%</w:t>
      </w:r>
    </w:p>
    <w:p w:rsidR="00B76492" w:rsidRPr="000836E1" w:rsidRDefault="00B76492" w:rsidP="000836E1">
      <w:pPr>
        <w:spacing w:line="360" w:lineRule="auto"/>
        <w:ind w:left="1080"/>
        <w:jc w:val="both"/>
        <w:rPr>
          <w:rFonts w:cs="David"/>
          <w:b/>
          <w:bCs/>
          <w:sz w:val="24"/>
          <w:szCs w:val="24"/>
          <w:rtl/>
        </w:rPr>
      </w:pPr>
      <w:r w:rsidRPr="000836E1">
        <w:rPr>
          <w:rFonts w:cs="David" w:hint="cs"/>
          <w:b/>
          <w:bCs/>
          <w:sz w:val="24"/>
          <w:szCs w:val="24"/>
          <w:rtl/>
        </w:rPr>
        <w:t>התשובה הנכונה היא ג' לאור מגבלת ה-90%</w:t>
      </w:r>
    </w:p>
    <w:p w:rsidR="00B76492" w:rsidRPr="000836E1" w:rsidRDefault="00B76492" w:rsidP="00EA2D9B">
      <w:pPr>
        <w:pStyle w:val="a7"/>
        <w:numPr>
          <w:ilvl w:val="0"/>
          <w:numId w:val="2"/>
        </w:numPr>
        <w:spacing w:line="360" w:lineRule="auto"/>
        <w:jc w:val="both"/>
        <w:rPr>
          <w:rFonts w:cs="David"/>
          <w:sz w:val="24"/>
          <w:szCs w:val="24"/>
          <w:rtl/>
        </w:rPr>
      </w:pPr>
      <w:r w:rsidRPr="000836E1">
        <w:rPr>
          <w:rFonts w:cs="David" w:hint="cs"/>
          <w:b/>
          <w:bCs/>
          <w:sz w:val="24"/>
          <w:szCs w:val="24"/>
          <w:rtl/>
        </w:rPr>
        <w:t xml:space="preserve">מכירה כפויה </w:t>
      </w:r>
      <w:r w:rsidRPr="000836E1">
        <w:rPr>
          <w:rFonts w:cs="David"/>
          <w:b/>
          <w:bCs/>
          <w:sz w:val="24"/>
          <w:szCs w:val="24"/>
          <w:rtl/>
        </w:rPr>
        <w:t>–</w:t>
      </w:r>
      <w:r w:rsidRPr="000836E1">
        <w:rPr>
          <w:rFonts w:cs="David" w:hint="cs"/>
          <w:sz w:val="24"/>
          <w:szCs w:val="24"/>
          <w:rtl/>
        </w:rPr>
        <w:t xml:space="preserve">מכירה שלא מרצון </w:t>
      </w:r>
      <w:r w:rsidRPr="000836E1">
        <w:rPr>
          <w:rFonts w:cs="David"/>
          <w:sz w:val="24"/>
          <w:szCs w:val="24"/>
          <w:rtl/>
        </w:rPr>
        <w:t>–</w:t>
      </w:r>
      <w:r w:rsidRPr="000836E1">
        <w:rPr>
          <w:rFonts w:cs="David" w:hint="cs"/>
          <w:sz w:val="24"/>
          <w:szCs w:val="24"/>
          <w:rtl/>
        </w:rPr>
        <w:t xml:space="preserve">סעיף </w:t>
      </w:r>
      <w:r w:rsidRPr="000836E1">
        <w:rPr>
          <w:rFonts w:cs="David" w:hint="cs"/>
          <w:b/>
          <w:bCs/>
          <w:sz w:val="24"/>
          <w:szCs w:val="24"/>
          <w:rtl/>
        </w:rPr>
        <w:t xml:space="preserve">104ד(1א) </w:t>
      </w:r>
      <w:r w:rsidRPr="000836E1">
        <w:rPr>
          <w:rFonts w:cs="David" w:hint="cs"/>
          <w:sz w:val="24"/>
          <w:szCs w:val="24"/>
          <w:rtl/>
        </w:rPr>
        <w:t>קובע כי לא יראו מכירה שאינה מרצון כמכירת זכויות. מכירה שאינה מרצון מוגדרת בסעיף 103:</w:t>
      </w:r>
    </w:p>
    <w:p w:rsidR="00B76492" w:rsidRPr="000836E1" w:rsidRDefault="00B76492" w:rsidP="00EA2D9B">
      <w:pPr>
        <w:pStyle w:val="a7"/>
        <w:numPr>
          <w:ilvl w:val="0"/>
          <w:numId w:val="4"/>
        </w:numPr>
        <w:spacing w:line="360" w:lineRule="auto"/>
        <w:jc w:val="both"/>
        <w:rPr>
          <w:rFonts w:cs="David"/>
          <w:sz w:val="24"/>
          <w:szCs w:val="24"/>
        </w:rPr>
      </w:pPr>
      <w:r w:rsidRPr="000836E1">
        <w:rPr>
          <w:rFonts w:cs="David" w:hint="cs"/>
          <w:sz w:val="24"/>
          <w:szCs w:val="24"/>
          <w:rtl/>
        </w:rPr>
        <w:t xml:space="preserve">הורשה </w:t>
      </w:r>
    </w:p>
    <w:p w:rsidR="00B76492" w:rsidRPr="000836E1" w:rsidRDefault="00B76492" w:rsidP="00EA2D9B">
      <w:pPr>
        <w:pStyle w:val="a7"/>
        <w:numPr>
          <w:ilvl w:val="0"/>
          <w:numId w:val="4"/>
        </w:numPr>
        <w:spacing w:line="360" w:lineRule="auto"/>
        <w:jc w:val="both"/>
        <w:rPr>
          <w:rFonts w:cs="David"/>
          <w:sz w:val="24"/>
          <w:szCs w:val="24"/>
        </w:rPr>
      </w:pPr>
      <w:r w:rsidRPr="000836E1">
        <w:rPr>
          <w:rFonts w:cs="David" w:hint="cs"/>
          <w:sz w:val="24"/>
          <w:szCs w:val="24"/>
          <w:rtl/>
        </w:rPr>
        <w:t>פשיטת רגל</w:t>
      </w:r>
    </w:p>
    <w:p w:rsidR="00B76492" w:rsidRPr="000836E1" w:rsidRDefault="00B76492" w:rsidP="00EA2D9B">
      <w:pPr>
        <w:pStyle w:val="a7"/>
        <w:numPr>
          <w:ilvl w:val="0"/>
          <w:numId w:val="4"/>
        </w:numPr>
        <w:spacing w:line="360" w:lineRule="auto"/>
        <w:jc w:val="both"/>
        <w:rPr>
          <w:rFonts w:cs="David"/>
          <w:sz w:val="24"/>
          <w:szCs w:val="24"/>
        </w:rPr>
      </w:pPr>
      <w:r w:rsidRPr="000836E1">
        <w:rPr>
          <w:rFonts w:cs="David" w:hint="cs"/>
          <w:sz w:val="24"/>
          <w:szCs w:val="24"/>
          <w:rtl/>
        </w:rPr>
        <w:t>פירוק שלא מרצון</w:t>
      </w:r>
    </w:p>
    <w:p w:rsidR="00B76492" w:rsidRPr="000836E1" w:rsidRDefault="00B76492" w:rsidP="000836E1">
      <w:pPr>
        <w:spacing w:line="360" w:lineRule="auto"/>
        <w:jc w:val="both"/>
        <w:rPr>
          <w:rFonts w:cs="David"/>
          <w:sz w:val="24"/>
          <w:szCs w:val="24"/>
        </w:rPr>
      </w:pPr>
      <w:r w:rsidRPr="000836E1">
        <w:rPr>
          <w:rFonts w:cs="David" w:hint="cs"/>
          <w:sz w:val="24"/>
          <w:szCs w:val="24"/>
          <w:rtl/>
        </w:rPr>
        <w:t>בנוסך קיימות תקנות מ"ה הקובעות שתי חלופות נוספות:</w:t>
      </w:r>
    </w:p>
    <w:p w:rsidR="00B76492" w:rsidRPr="000836E1" w:rsidRDefault="00B76492" w:rsidP="00EA2D9B">
      <w:pPr>
        <w:pStyle w:val="a7"/>
        <w:numPr>
          <w:ilvl w:val="0"/>
          <w:numId w:val="4"/>
        </w:numPr>
        <w:spacing w:line="360" w:lineRule="auto"/>
        <w:jc w:val="both"/>
        <w:rPr>
          <w:rFonts w:cs="David"/>
          <w:sz w:val="24"/>
          <w:szCs w:val="24"/>
        </w:rPr>
      </w:pPr>
      <w:r w:rsidRPr="000836E1">
        <w:rPr>
          <w:rFonts w:cs="David" w:hint="cs"/>
          <w:sz w:val="24"/>
          <w:szCs w:val="24"/>
          <w:rtl/>
        </w:rPr>
        <w:t xml:space="preserve">מכירה שרשות שלטונית הורתה עליה לפי דין כמו הפקעה </w:t>
      </w:r>
    </w:p>
    <w:p w:rsidR="00B76492" w:rsidRPr="000836E1" w:rsidRDefault="00B76492" w:rsidP="00EA2D9B">
      <w:pPr>
        <w:pStyle w:val="a7"/>
        <w:numPr>
          <w:ilvl w:val="0"/>
          <w:numId w:val="4"/>
        </w:numPr>
        <w:spacing w:line="360" w:lineRule="auto"/>
        <w:jc w:val="both"/>
        <w:rPr>
          <w:rFonts w:cs="David"/>
          <w:sz w:val="24"/>
          <w:szCs w:val="24"/>
        </w:rPr>
      </w:pPr>
      <w:r w:rsidRPr="000836E1">
        <w:rPr>
          <w:rFonts w:cs="David" w:hint="cs"/>
          <w:sz w:val="24"/>
          <w:szCs w:val="24"/>
          <w:rtl/>
        </w:rPr>
        <w:t>הסכם במסגרת הליך גירושין במסגרת פס"ד</w:t>
      </w:r>
    </w:p>
    <w:p w:rsidR="001C767B" w:rsidRPr="000836E1" w:rsidRDefault="00B76492" w:rsidP="000836E1">
      <w:pPr>
        <w:spacing w:line="360" w:lineRule="auto"/>
        <w:jc w:val="both"/>
        <w:rPr>
          <w:rFonts w:cs="David"/>
          <w:sz w:val="24"/>
          <w:szCs w:val="24"/>
          <w:rtl/>
        </w:rPr>
      </w:pPr>
      <w:r w:rsidRPr="000836E1">
        <w:rPr>
          <w:rFonts w:cs="David" w:hint="cs"/>
          <w:b/>
          <w:bCs/>
          <w:sz w:val="24"/>
          <w:szCs w:val="24"/>
          <w:u w:val="single"/>
          <w:rtl/>
        </w:rPr>
        <w:t>סעיף 104ה</w:t>
      </w:r>
      <w:r w:rsidR="001C767B" w:rsidRPr="000836E1">
        <w:rPr>
          <w:rFonts w:cs="David" w:hint="cs"/>
          <w:b/>
          <w:bCs/>
          <w:sz w:val="24"/>
          <w:szCs w:val="24"/>
          <w:u w:val="single"/>
          <w:rtl/>
        </w:rPr>
        <w:t xml:space="preserve">-דרכי החישוב בעת מכירת נכס </w:t>
      </w:r>
    </w:p>
    <w:p w:rsidR="001C767B" w:rsidRPr="000836E1" w:rsidRDefault="001C767B" w:rsidP="000836E1">
      <w:pPr>
        <w:spacing w:line="360" w:lineRule="auto"/>
        <w:jc w:val="both"/>
        <w:rPr>
          <w:rFonts w:cs="David"/>
          <w:sz w:val="24"/>
          <w:szCs w:val="24"/>
          <w:rtl/>
        </w:rPr>
      </w:pPr>
      <w:r w:rsidRPr="000836E1">
        <w:rPr>
          <w:rFonts w:cs="David" w:hint="cs"/>
          <w:sz w:val="24"/>
          <w:szCs w:val="24"/>
          <w:rtl/>
        </w:rPr>
        <w:t xml:space="preserve">במכירת נכס שהוער לאחר תקופת המגבלות (שנתיים ממועד ההעברה לחברה הקולטת) מחשבת החברה הקולטת רווח הון בגינו </w:t>
      </w:r>
      <w:proofErr w:type="spellStart"/>
      <w:r w:rsidRPr="000836E1">
        <w:rPr>
          <w:rFonts w:cs="David" w:hint="cs"/>
          <w:sz w:val="24"/>
          <w:szCs w:val="24"/>
          <w:rtl/>
        </w:rPr>
        <w:t>תיהיה</w:t>
      </w:r>
      <w:proofErr w:type="spellEnd"/>
      <w:r w:rsidRPr="000836E1">
        <w:rPr>
          <w:rFonts w:cs="David" w:hint="cs"/>
          <w:sz w:val="24"/>
          <w:szCs w:val="24"/>
          <w:rtl/>
        </w:rPr>
        <w:t xml:space="preserve"> החברה המוכרת חייבת במס . חישוב רווח ההון ייעשה כפי שלמדנו בעבר ע"י חישוב המחיר המקורי יום הרכישה ושווי הרכישה. החברה הקולטת אליה הועבר הנכס נכנסת לנעלי המעביר הן לעניין המחיר המקורי והן לעניין יום הרכישה. כלומר, אנו מתייחסים לכל הפרמטרים כאילו המעביר מעולם לא העביר את הנכס. </w:t>
      </w:r>
    </w:p>
    <w:p w:rsidR="001C767B" w:rsidRPr="000836E1" w:rsidRDefault="001C767B" w:rsidP="000836E1">
      <w:pPr>
        <w:spacing w:line="360" w:lineRule="auto"/>
        <w:jc w:val="both"/>
        <w:rPr>
          <w:rFonts w:cs="David"/>
          <w:b/>
          <w:bCs/>
          <w:sz w:val="24"/>
          <w:szCs w:val="24"/>
          <w:rtl/>
        </w:rPr>
      </w:pPr>
      <w:r w:rsidRPr="000836E1">
        <w:rPr>
          <w:rFonts w:cs="David" w:hint="cs"/>
          <w:b/>
          <w:bCs/>
          <w:sz w:val="24"/>
          <w:szCs w:val="24"/>
          <w:rtl/>
        </w:rPr>
        <w:t xml:space="preserve">הערה: יש לשים לב כי החברה הקולטת את הנכס רושמת אותו בספריה לפי </w:t>
      </w:r>
      <w:proofErr w:type="spellStart"/>
      <w:r w:rsidRPr="000836E1">
        <w:rPr>
          <w:rFonts w:cs="David" w:hint="cs"/>
          <w:b/>
          <w:bCs/>
          <w:sz w:val="24"/>
          <w:szCs w:val="24"/>
          <w:rtl/>
        </w:rPr>
        <w:t>שוו"ה</w:t>
      </w:r>
      <w:proofErr w:type="spellEnd"/>
      <w:r w:rsidRPr="000836E1">
        <w:rPr>
          <w:rFonts w:cs="David" w:hint="cs"/>
          <w:b/>
          <w:bCs/>
          <w:sz w:val="24"/>
          <w:szCs w:val="24"/>
          <w:rtl/>
        </w:rPr>
        <w:t xml:space="preserve"> אך כאשר היא תמכור אותו יתרת המחיר המקורי תיקבע לפי עלותו המקורית בניכוי הוצאות פחת ולא לפי שווי השוק. </w:t>
      </w:r>
    </w:p>
    <w:p w:rsidR="001C767B" w:rsidRPr="000836E1" w:rsidRDefault="001C767B" w:rsidP="000836E1">
      <w:pPr>
        <w:spacing w:line="360" w:lineRule="auto"/>
        <w:jc w:val="both"/>
        <w:rPr>
          <w:rFonts w:cs="David"/>
          <w:sz w:val="24"/>
          <w:szCs w:val="24"/>
          <w:rtl/>
        </w:rPr>
      </w:pPr>
      <w:r w:rsidRPr="000836E1">
        <w:rPr>
          <w:rFonts w:cs="David" w:hint="cs"/>
          <w:sz w:val="24"/>
          <w:szCs w:val="24"/>
          <w:rtl/>
        </w:rPr>
        <w:t xml:space="preserve">למשל: </w:t>
      </w:r>
      <w:r w:rsidRPr="000836E1">
        <w:rPr>
          <w:rFonts w:cs="David" w:hint="cs"/>
          <w:b/>
          <w:bCs/>
          <w:sz w:val="24"/>
          <w:szCs w:val="24"/>
          <w:rtl/>
        </w:rPr>
        <w:t xml:space="preserve">ביום 31/12/10 העביר אדם נכס לחברה א' לפי הוראות סעיף 104א לפקודה. הנכס נרכש ביום 01/01/08 בעלות של 100,000 ₪ והוצאות הפחת 5% לשנה. במועד ההעברה שווי השוק של הנכס הוא 120,000 ₪. ביום 31/12/13 החברה החליטה למכור את הנכס תמורת 90,000 ₪ מהו רווח ההון </w:t>
      </w:r>
      <w:proofErr w:type="spellStart"/>
      <w:r w:rsidRPr="000836E1">
        <w:rPr>
          <w:rFonts w:cs="David" w:hint="cs"/>
          <w:sz w:val="24"/>
          <w:szCs w:val="24"/>
          <w:rtl/>
        </w:rPr>
        <w:t>פיתרון</w:t>
      </w:r>
      <w:proofErr w:type="spellEnd"/>
      <w:r w:rsidRPr="000836E1">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3366"/>
      </w:tblGrid>
      <w:tr w:rsidR="001C767B" w:rsidRPr="000836E1" w:rsidTr="001C767B">
        <w:tc>
          <w:tcPr>
            <w:tcW w:w="0" w:type="auto"/>
            <w:vAlign w:val="center"/>
          </w:tcPr>
          <w:p w:rsidR="001C767B" w:rsidRPr="000836E1" w:rsidRDefault="001C767B" w:rsidP="000836E1">
            <w:pPr>
              <w:spacing w:line="360" w:lineRule="auto"/>
              <w:rPr>
                <w:rFonts w:cs="David"/>
                <w:sz w:val="24"/>
                <w:szCs w:val="24"/>
                <w:rtl/>
              </w:rPr>
            </w:pPr>
            <w:r w:rsidRPr="000836E1">
              <w:rPr>
                <w:rFonts w:cs="David" w:hint="cs"/>
                <w:sz w:val="24"/>
                <w:szCs w:val="24"/>
                <w:rtl/>
              </w:rPr>
              <w:t>תמורה</w:t>
            </w:r>
          </w:p>
        </w:tc>
        <w:tc>
          <w:tcPr>
            <w:tcW w:w="0" w:type="auto"/>
            <w:vAlign w:val="center"/>
          </w:tcPr>
          <w:p w:rsidR="001C767B" w:rsidRPr="000836E1" w:rsidRDefault="001C767B" w:rsidP="000836E1">
            <w:pPr>
              <w:spacing w:line="360" w:lineRule="auto"/>
              <w:rPr>
                <w:rFonts w:cs="David"/>
                <w:sz w:val="24"/>
                <w:szCs w:val="24"/>
                <w:rtl/>
              </w:rPr>
            </w:pPr>
            <w:r w:rsidRPr="000836E1">
              <w:rPr>
                <w:rFonts w:cs="David" w:hint="cs"/>
                <w:sz w:val="24"/>
                <w:szCs w:val="24"/>
                <w:rtl/>
              </w:rPr>
              <w:t>90,000</w:t>
            </w:r>
          </w:p>
        </w:tc>
        <w:tc>
          <w:tcPr>
            <w:tcW w:w="0" w:type="auto"/>
            <w:vAlign w:val="center"/>
          </w:tcPr>
          <w:p w:rsidR="001C767B" w:rsidRPr="000836E1" w:rsidRDefault="001C767B" w:rsidP="000836E1">
            <w:pPr>
              <w:spacing w:line="360" w:lineRule="auto"/>
              <w:rPr>
                <w:rFonts w:cs="David"/>
                <w:sz w:val="24"/>
                <w:szCs w:val="24"/>
                <w:rtl/>
              </w:rPr>
            </w:pPr>
          </w:p>
        </w:tc>
      </w:tr>
      <w:tr w:rsidR="001C767B" w:rsidRPr="000836E1" w:rsidTr="001C767B">
        <w:tc>
          <w:tcPr>
            <w:tcW w:w="0" w:type="auto"/>
            <w:vAlign w:val="center"/>
          </w:tcPr>
          <w:p w:rsidR="001C767B" w:rsidRPr="000836E1" w:rsidRDefault="001C767B" w:rsidP="000836E1">
            <w:pPr>
              <w:spacing w:line="360" w:lineRule="auto"/>
              <w:rPr>
                <w:rFonts w:cs="David"/>
                <w:sz w:val="24"/>
                <w:szCs w:val="24"/>
                <w:rtl/>
              </w:rPr>
            </w:pPr>
            <w:r w:rsidRPr="000836E1">
              <w:rPr>
                <w:rFonts w:cs="David" w:hint="cs"/>
                <w:sz w:val="24"/>
                <w:szCs w:val="24"/>
                <w:rtl/>
              </w:rPr>
              <w:t>ימ"מ</w:t>
            </w:r>
          </w:p>
        </w:tc>
        <w:tc>
          <w:tcPr>
            <w:tcW w:w="0" w:type="auto"/>
            <w:vAlign w:val="center"/>
          </w:tcPr>
          <w:p w:rsidR="001C767B" w:rsidRPr="000836E1" w:rsidRDefault="001C767B" w:rsidP="000836E1">
            <w:pPr>
              <w:spacing w:line="360" w:lineRule="auto"/>
              <w:rPr>
                <w:rFonts w:cs="David"/>
                <w:sz w:val="24"/>
                <w:szCs w:val="24"/>
                <w:rtl/>
              </w:rPr>
            </w:pPr>
            <w:r w:rsidRPr="000836E1">
              <w:rPr>
                <w:rFonts w:cs="David" w:hint="cs"/>
                <w:sz w:val="24"/>
                <w:szCs w:val="24"/>
                <w:rtl/>
              </w:rPr>
              <w:t>(70,000)</w:t>
            </w:r>
          </w:p>
        </w:tc>
        <w:tc>
          <w:tcPr>
            <w:tcW w:w="0" w:type="auto"/>
            <w:vAlign w:val="center"/>
          </w:tcPr>
          <w:p w:rsidR="001C767B" w:rsidRPr="000836E1" w:rsidRDefault="001C767B" w:rsidP="000836E1">
            <w:pPr>
              <w:bidi w:val="0"/>
              <w:spacing w:line="360" w:lineRule="auto"/>
              <w:rPr>
                <w:rFonts w:cs="David"/>
                <w:sz w:val="24"/>
                <w:szCs w:val="24"/>
                <w:rtl/>
              </w:rPr>
            </w:pPr>
            <m:oMathPara>
              <m:oMath>
                <m:r>
                  <w:rPr>
                    <w:rFonts w:ascii="Cambria Math" w:hAnsi="Cambria Math" w:cs="David"/>
                    <w:sz w:val="24"/>
                    <w:szCs w:val="24"/>
                  </w:rPr>
                  <m:t>100,000-100,000*5%*6=</m:t>
                </m:r>
              </m:oMath>
            </m:oMathPara>
          </w:p>
        </w:tc>
      </w:tr>
      <w:tr w:rsidR="001C767B" w:rsidRPr="000836E1" w:rsidTr="001C767B">
        <w:tc>
          <w:tcPr>
            <w:tcW w:w="0" w:type="auto"/>
            <w:vAlign w:val="center"/>
          </w:tcPr>
          <w:p w:rsidR="001C767B" w:rsidRPr="000836E1" w:rsidRDefault="001C767B" w:rsidP="000836E1">
            <w:pPr>
              <w:spacing w:line="360" w:lineRule="auto"/>
              <w:rPr>
                <w:rFonts w:cs="David"/>
                <w:sz w:val="24"/>
                <w:szCs w:val="24"/>
                <w:rtl/>
              </w:rPr>
            </w:pPr>
            <w:proofErr w:type="spellStart"/>
            <w:r w:rsidRPr="000836E1">
              <w:rPr>
                <w:rFonts w:cs="David" w:hint="cs"/>
                <w:sz w:val="24"/>
                <w:szCs w:val="24"/>
                <w:rtl/>
              </w:rPr>
              <w:t>רוו"ה</w:t>
            </w:r>
            <w:proofErr w:type="spellEnd"/>
            <w:r w:rsidRPr="000836E1">
              <w:rPr>
                <w:rFonts w:cs="David" w:hint="cs"/>
                <w:sz w:val="24"/>
                <w:szCs w:val="24"/>
                <w:rtl/>
              </w:rPr>
              <w:t xml:space="preserve"> </w:t>
            </w:r>
          </w:p>
        </w:tc>
        <w:tc>
          <w:tcPr>
            <w:tcW w:w="0" w:type="auto"/>
            <w:vAlign w:val="center"/>
          </w:tcPr>
          <w:p w:rsidR="001C767B" w:rsidRPr="000836E1" w:rsidRDefault="001C767B" w:rsidP="000836E1">
            <w:pPr>
              <w:spacing w:line="360" w:lineRule="auto"/>
              <w:rPr>
                <w:rFonts w:cs="David"/>
                <w:sz w:val="24"/>
                <w:szCs w:val="24"/>
                <w:rtl/>
              </w:rPr>
            </w:pPr>
            <w:r w:rsidRPr="000836E1">
              <w:rPr>
                <w:rFonts w:cs="David" w:hint="cs"/>
                <w:sz w:val="24"/>
                <w:szCs w:val="24"/>
                <w:rtl/>
              </w:rPr>
              <w:t>20,000</w:t>
            </w:r>
          </w:p>
        </w:tc>
        <w:tc>
          <w:tcPr>
            <w:tcW w:w="0" w:type="auto"/>
            <w:vAlign w:val="center"/>
          </w:tcPr>
          <w:p w:rsidR="001C767B" w:rsidRPr="000836E1" w:rsidRDefault="001C767B" w:rsidP="000836E1">
            <w:pPr>
              <w:spacing w:line="360" w:lineRule="auto"/>
              <w:rPr>
                <w:rFonts w:cs="David"/>
                <w:sz w:val="24"/>
                <w:szCs w:val="24"/>
                <w:rtl/>
              </w:rPr>
            </w:pPr>
          </w:p>
        </w:tc>
      </w:tr>
    </w:tbl>
    <w:p w:rsidR="005A7E0C" w:rsidRPr="000836E1" w:rsidRDefault="001C767B" w:rsidP="000836E1">
      <w:pPr>
        <w:spacing w:line="360" w:lineRule="auto"/>
        <w:jc w:val="both"/>
        <w:rPr>
          <w:rFonts w:cs="David"/>
          <w:b/>
          <w:bCs/>
          <w:sz w:val="24"/>
          <w:szCs w:val="24"/>
          <w:rtl/>
        </w:rPr>
      </w:pPr>
      <w:r w:rsidRPr="000836E1">
        <w:rPr>
          <w:rFonts w:cs="David" w:hint="cs"/>
          <w:b/>
          <w:bCs/>
          <w:sz w:val="24"/>
          <w:szCs w:val="24"/>
          <w:rtl/>
        </w:rPr>
        <w:t xml:space="preserve">בעצם מכאן מחשבים חישוב </w:t>
      </w:r>
      <w:proofErr w:type="spellStart"/>
      <w:r w:rsidRPr="000836E1">
        <w:rPr>
          <w:rFonts w:cs="David" w:hint="cs"/>
          <w:b/>
          <w:bCs/>
          <w:sz w:val="24"/>
          <w:szCs w:val="24"/>
          <w:rtl/>
        </w:rPr>
        <w:t>רוו"ה</w:t>
      </w:r>
      <w:proofErr w:type="spellEnd"/>
      <w:r w:rsidRPr="000836E1">
        <w:rPr>
          <w:rFonts w:cs="David" w:hint="cs"/>
          <w:b/>
          <w:bCs/>
          <w:sz w:val="24"/>
          <w:szCs w:val="24"/>
          <w:rtl/>
        </w:rPr>
        <w:t xml:space="preserve"> רגיל ולכן יש לפצל את </w:t>
      </w:r>
      <w:proofErr w:type="spellStart"/>
      <w:r w:rsidRPr="000836E1">
        <w:rPr>
          <w:rFonts w:cs="David" w:hint="cs"/>
          <w:b/>
          <w:bCs/>
          <w:sz w:val="24"/>
          <w:szCs w:val="24"/>
          <w:rtl/>
        </w:rPr>
        <w:t>רוו"ה</w:t>
      </w:r>
      <w:proofErr w:type="spellEnd"/>
      <w:r w:rsidRPr="000836E1">
        <w:rPr>
          <w:rFonts w:cs="David" w:hint="cs"/>
          <w:b/>
          <w:bCs/>
          <w:sz w:val="24"/>
          <w:szCs w:val="24"/>
          <w:rtl/>
        </w:rPr>
        <w:t xml:space="preserve"> לאינפלציוני ולריאלי </w:t>
      </w:r>
      <w:proofErr w:type="spellStart"/>
      <w:r w:rsidRPr="000836E1">
        <w:rPr>
          <w:rFonts w:cs="David" w:hint="cs"/>
          <w:b/>
          <w:bCs/>
          <w:sz w:val="24"/>
          <w:szCs w:val="24"/>
          <w:rtl/>
        </w:rPr>
        <w:t>ולרר"ל</w:t>
      </w:r>
      <w:proofErr w:type="spellEnd"/>
      <w:r w:rsidRPr="000836E1">
        <w:rPr>
          <w:rFonts w:cs="David" w:hint="cs"/>
          <w:b/>
          <w:bCs/>
          <w:sz w:val="24"/>
          <w:szCs w:val="24"/>
          <w:rtl/>
        </w:rPr>
        <w:t xml:space="preserve"> רק אם זה מניות ולחשב את חבות המס בדיוק כפי שנלמד בעבר יש לשים לב כי הנתון אודות שווי השוק במועד ההעברה אינו רלוונטי.</w:t>
      </w:r>
    </w:p>
    <w:p w:rsidR="005A7E0C" w:rsidRPr="000836E1" w:rsidRDefault="005A7E0C" w:rsidP="000836E1">
      <w:pPr>
        <w:spacing w:line="360" w:lineRule="auto"/>
        <w:jc w:val="both"/>
        <w:rPr>
          <w:rFonts w:cs="David"/>
          <w:b/>
          <w:bCs/>
          <w:sz w:val="24"/>
          <w:szCs w:val="24"/>
          <w:u w:val="single"/>
          <w:rtl/>
        </w:rPr>
      </w:pPr>
    </w:p>
    <w:p w:rsidR="001C767B" w:rsidRPr="000836E1" w:rsidRDefault="005A7E0C" w:rsidP="000836E1">
      <w:pPr>
        <w:spacing w:line="360" w:lineRule="auto"/>
        <w:jc w:val="both"/>
        <w:rPr>
          <w:rFonts w:cs="David"/>
          <w:b/>
          <w:bCs/>
          <w:sz w:val="24"/>
          <w:szCs w:val="24"/>
          <w:u w:val="single"/>
          <w:rtl/>
        </w:rPr>
      </w:pPr>
      <w:r w:rsidRPr="000836E1">
        <w:rPr>
          <w:rFonts w:cs="David" w:hint="cs"/>
          <w:b/>
          <w:bCs/>
          <w:sz w:val="24"/>
          <w:szCs w:val="24"/>
          <w:u w:val="single"/>
          <w:rtl/>
        </w:rPr>
        <w:lastRenderedPageBreak/>
        <w:t>סעיף 104ו- מכירת המניות</w:t>
      </w:r>
    </w:p>
    <w:p w:rsidR="005A7E0C" w:rsidRPr="000836E1" w:rsidRDefault="005A7E0C" w:rsidP="000836E1">
      <w:pPr>
        <w:spacing w:line="360" w:lineRule="auto"/>
        <w:jc w:val="both"/>
        <w:rPr>
          <w:rFonts w:cs="David"/>
          <w:b/>
          <w:bCs/>
          <w:sz w:val="24"/>
          <w:szCs w:val="24"/>
          <w:rtl/>
        </w:rPr>
      </w:pPr>
      <w:r w:rsidRPr="000836E1">
        <w:rPr>
          <w:rFonts w:cs="David" w:hint="cs"/>
          <w:b/>
          <w:bCs/>
          <w:sz w:val="24"/>
          <w:szCs w:val="24"/>
          <w:rtl/>
        </w:rPr>
        <w:t>הגדרות:</w:t>
      </w:r>
    </w:p>
    <w:p w:rsidR="005A7E0C" w:rsidRPr="000836E1" w:rsidRDefault="005A7E0C" w:rsidP="000836E1">
      <w:pPr>
        <w:spacing w:line="360" w:lineRule="auto"/>
        <w:jc w:val="both"/>
        <w:rPr>
          <w:rFonts w:cs="David"/>
          <w:sz w:val="24"/>
          <w:szCs w:val="24"/>
          <w:rtl/>
        </w:rPr>
      </w:pPr>
      <w:r w:rsidRPr="000836E1">
        <w:rPr>
          <w:rFonts w:cs="David" w:hint="cs"/>
          <w:b/>
          <w:bCs/>
          <w:sz w:val="24"/>
          <w:szCs w:val="24"/>
          <w:rtl/>
        </w:rPr>
        <w:t xml:space="preserve">"המחיר המתואם" </w:t>
      </w:r>
      <w:r w:rsidRPr="000836E1">
        <w:rPr>
          <w:rFonts w:cs="David"/>
          <w:sz w:val="24"/>
          <w:szCs w:val="24"/>
          <w:rtl/>
        </w:rPr>
        <w:t>–</w:t>
      </w:r>
      <w:r w:rsidRPr="000836E1">
        <w:rPr>
          <w:rFonts w:cs="David" w:hint="cs"/>
          <w:sz w:val="24"/>
          <w:szCs w:val="24"/>
          <w:rtl/>
        </w:rPr>
        <w:t xml:space="preserve"> המחיר המקורי של המניות המוקצות הנמוך מבין :</w:t>
      </w:r>
    </w:p>
    <w:p w:rsidR="005A7E0C" w:rsidRPr="000836E1" w:rsidRDefault="005A7E0C" w:rsidP="00EA2D9B">
      <w:pPr>
        <w:pStyle w:val="a7"/>
        <w:numPr>
          <w:ilvl w:val="0"/>
          <w:numId w:val="5"/>
        </w:numPr>
        <w:spacing w:line="360" w:lineRule="auto"/>
        <w:jc w:val="both"/>
        <w:rPr>
          <w:rFonts w:cs="David"/>
          <w:sz w:val="24"/>
          <w:szCs w:val="24"/>
        </w:rPr>
      </w:pPr>
      <w:r w:rsidRPr="000836E1">
        <w:rPr>
          <w:rFonts w:cs="David" w:hint="cs"/>
          <w:sz w:val="24"/>
          <w:szCs w:val="24"/>
          <w:rtl/>
        </w:rPr>
        <w:t xml:space="preserve">יתרת מחיר מקורי מתואם </w:t>
      </w:r>
      <w:r w:rsidRPr="000836E1">
        <w:rPr>
          <w:rFonts w:cs="David"/>
          <w:sz w:val="24"/>
          <w:szCs w:val="24"/>
          <w:rtl/>
        </w:rPr>
        <w:t>–</w:t>
      </w:r>
      <w:r w:rsidRPr="000836E1">
        <w:rPr>
          <w:rFonts w:cs="David" w:hint="cs"/>
          <w:sz w:val="24"/>
          <w:szCs w:val="24"/>
          <w:rtl/>
        </w:rPr>
        <w:t xml:space="preserve"> עלות מופחתת מתואמת מיום רכישת הנכ</w:t>
      </w:r>
      <w:r w:rsidR="00CE47B9" w:rsidRPr="000836E1">
        <w:rPr>
          <w:rFonts w:cs="David" w:hint="cs"/>
          <w:sz w:val="24"/>
          <w:szCs w:val="24"/>
          <w:rtl/>
        </w:rPr>
        <w:t>ס עד יום ההעבר</w:t>
      </w:r>
      <w:r w:rsidRPr="000836E1">
        <w:rPr>
          <w:rFonts w:cs="David" w:hint="cs"/>
          <w:sz w:val="24"/>
          <w:szCs w:val="24"/>
          <w:rtl/>
        </w:rPr>
        <w:t>ה</w:t>
      </w:r>
    </w:p>
    <w:p w:rsidR="005A7E0C" w:rsidRPr="000836E1" w:rsidRDefault="005A7E0C" w:rsidP="00EA2D9B">
      <w:pPr>
        <w:pStyle w:val="a7"/>
        <w:numPr>
          <w:ilvl w:val="0"/>
          <w:numId w:val="5"/>
        </w:numPr>
        <w:spacing w:line="360" w:lineRule="auto"/>
        <w:jc w:val="both"/>
        <w:rPr>
          <w:rFonts w:cs="David"/>
          <w:sz w:val="24"/>
          <w:szCs w:val="24"/>
        </w:rPr>
      </w:pPr>
      <w:r w:rsidRPr="000836E1">
        <w:rPr>
          <w:rFonts w:cs="David" w:hint="cs"/>
          <w:sz w:val="24"/>
          <w:szCs w:val="24"/>
          <w:rtl/>
        </w:rPr>
        <w:t xml:space="preserve">שווי שוק של הנכס במועד ההעברה </w:t>
      </w:r>
    </w:p>
    <w:p w:rsidR="005A7E0C" w:rsidRPr="000836E1" w:rsidRDefault="005A7E0C" w:rsidP="000836E1">
      <w:pPr>
        <w:spacing w:line="360" w:lineRule="auto"/>
        <w:jc w:val="both"/>
        <w:rPr>
          <w:rFonts w:cs="David"/>
          <w:sz w:val="24"/>
          <w:szCs w:val="24"/>
          <w:rtl/>
        </w:rPr>
      </w:pPr>
      <w:r w:rsidRPr="000836E1">
        <w:rPr>
          <w:rFonts w:cs="David" w:hint="cs"/>
          <w:sz w:val="24"/>
          <w:szCs w:val="24"/>
          <w:rtl/>
        </w:rPr>
        <w:t xml:space="preserve">אם התוצאה יצאה שווי שוק: ישנה בדיקה נוספת: יש לקחת את </w:t>
      </w:r>
      <w:r w:rsidRPr="000836E1">
        <w:rPr>
          <w:rFonts w:cs="David" w:hint="cs"/>
          <w:b/>
          <w:bCs/>
          <w:sz w:val="24"/>
          <w:szCs w:val="24"/>
          <w:rtl/>
        </w:rPr>
        <w:t xml:space="preserve">הגבוה </w:t>
      </w:r>
      <w:r w:rsidRPr="000836E1">
        <w:rPr>
          <w:rFonts w:cs="David" w:hint="cs"/>
          <w:sz w:val="24"/>
          <w:szCs w:val="24"/>
          <w:rtl/>
        </w:rPr>
        <w:t>מבין :</w:t>
      </w:r>
    </w:p>
    <w:p w:rsidR="005A7E0C" w:rsidRPr="000836E1" w:rsidRDefault="005A7E0C" w:rsidP="00EA2D9B">
      <w:pPr>
        <w:pStyle w:val="a7"/>
        <w:numPr>
          <w:ilvl w:val="0"/>
          <w:numId w:val="6"/>
        </w:numPr>
        <w:spacing w:line="360" w:lineRule="auto"/>
        <w:jc w:val="both"/>
        <w:rPr>
          <w:rFonts w:cs="David"/>
          <w:sz w:val="24"/>
          <w:szCs w:val="24"/>
        </w:rPr>
      </w:pPr>
      <w:r w:rsidRPr="000836E1">
        <w:rPr>
          <w:rFonts w:cs="David" w:hint="cs"/>
          <w:sz w:val="24"/>
          <w:szCs w:val="24"/>
          <w:rtl/>
        </w:rPr>
        <w:t>שווי שוק</w:t>
      </w:r>
    </w:p>
    <w:p w:rsidR="005A7E0C" w:rsidRPr="000836E1" w:rsidRDefault="005A7E0C" w:rsidP="00EA2D9B">
      <w:pPr>
        <w:pStyle w:val="a7"/>
        <w:numPr>
          <w:ilvl w:val="0"/>
          <w:numId w:val="6"/>
        </w:numPr>
        <w:spacing w:line="360" w:lineRule="auto"/>
        <w:jc w:val="both"/>
        <w:rPr>
          <w:rFonts w:cs="David"/>
          <w:sz w:val="24"/>
          <w:szCs w:val="24"/>
        </w:rPr>
      </w:pPr>
      <w:r w:rsidRPr="000836E1">
        <w:rPr>
          <w:rFonts w:cs="David" w:hint="cs"/>
          <w:sz w:val="24"/>
          <w:szCs w:val="24"/>
          <w:rtl/>
        </w:rPr>
        <w:t xml:space="preserve">יתרת המחיר המקורי </w:t>
      </w:r>
      <w:r w:rsidRPr="000836E1">
        <w:rPr>
          <w:rFonts w:cs="David"/>
          <w:sz w:val="24"/>
          <w:szCs w:val="24"/>
          <w:rtl/>
        </w:rPr>
        <w:t>–</w:t>
      </w:r>
      <w:r w:rsidRPr="000836E1">
        <w:rPr>
          <w:rFonts w:cs="David" w:hint="cs"/>
          <w:sz w:val="24"/>
          <w:szCs w:val="24"/>
          <w:rtl/>
        </w:rPr>
        <w:t xml:space="preserve"> עלות מופחתת</w:t>
      </w:r>
    </w:p>
    <w:p w:rsidR="005A7E0C" w:rsidRPr="000836E1" w:rsidRDefault="005A7E0C" w:rsidP="000836E1">
      <w:pPr>
        <w:spacing w:line="360" w:lineRule="auto"/>
        <w:jc w:val="both"/>
        <w:rPr>
          <w:rFonts w:cs="David"/>
          <w:sz w:val="24"/>
          <w:szCs w:val="24"/>
          <w:rtl/>
        </w:rPr>
      </w:pPr>
      <w:r w:rsidRPr="000836E1">
        <w:rPr>
          <w:rFonts w:cs="David" w:hint="cs"/>
          <w:b/>
          <w:bCs/>
          <w:sz w:val="24"/>
          <w:szCs w:val="24"/>
          <w:rtl/>
        </w:rPr>
        <w:t>"הפרש התיאום"</w:t>
      </w:r>
      <w:r w:rsidRPr="000836E1">
        <w:rPr>
          <w:rFonts w:cs="David" w:hint="cs"/>
          <w:sz w:val="24"/>
          <w:szCs w:val="24"/>
          <w:rtl/>
        </w:rPr>
        <w:t>- מחיר מתואם פחות יתרת מחיר מקורי שווה להפרש התיאום. את הפרש התיאום מוסיפים:</w:t>
      </w:r>
    </w:p>
    <w:p w:rsidR="005A7E0C" w:rsidRPr="000836E1" w:rsidRDefault="005A7E0C" w:rsidP="00EA2D9B">
      <w:pPr>
        <w:pStyle w:val="a7"/>
        <w:numPr>
          <w:ilvl w:val="0"/>
          <w:numId w:val="7"/>
        </w:numPr>
        <w:spacing w:line="360" w:lineRule="auto"/>
        <w:jc w:val="both"/>
        <w:rPr>
          <w:rFonts w:cs="David"/>
          <w:sz w:val="24"/>
          <w:szCs w:val="24"/>
        </w:rPr>
      </w:pPr>
      <w:r w:rsidRPr="000836E1">
        <w:rPr>
          <w:rFonts w:cs="David" w:hint="cs"/>
          <w:sz w:val="24"/>
          <w:szCs w:val="24"/>
          <w:rtl/>
        </w:rPr>
        <w:t xml:space="preserve">לתמורה </w:t>
      </w:r>
    </w:p>
    <w:p w:rsidR="005A7E0C" w:rsidRPr="000836E1" w:rsidRDefault="005A7E0C" w:rsidP="00EA2D9B">
      <w:pPr>
        <w:pStyle w:val="a7"/>
        <w:numPr>
          <w:ilvl w:val="0"/>
          <w:numId w:val="7"/>
        </w:numPr>
        <w:spacing w:line="360" w:lineRule="auto"/>
        <w:jc w:val="both"/>
        <w:rPr>
          <w:rFonts w:cs="David"/>
          <w:sz w:val="24"/>
          <w:szCs w:val="24"/>
        </w:rPr>
      </w:pPr>
      <w:r w:rsidRPr="000836E1">
        <w:rPr>
          <w:rFonts w:cs="David" w:hint="cs"/>
          <w:sz w:val="24"/>
          <w:szCs w:val="24"/>
          <w:rtl/>
        </w:rPr>
        <w:t>לסכום האינפלציוני</w:t>
      </w:r>
    </w:p>
    <w:p w:rsidR="00CE47B9" w:rsidRPr="000836E1" w:rsidRDefault="005A7E0C" w:rsidP="000836E1">
      <w:pPr>
        <w:spacing w:line="360" w:lineRule="auto"/>
        <w:jc w:val="both"/>
        <w:rPr>
          <w:rFonts w:cs="David"/>
          <w:sz w:val="24"/>
          <w:szCs w:val="24"/>
          <w:rtl/>
        </w:rPr>
      </w:pPr>
      <w:r w:rsidRPr="000836E1">
        <w:rPr>
          <w:rFonts w:cs="David" w:hint="cs"/>
          <w:sz w:val="24"/>
          <w:szCs w:val="24"/>
          <w:rtl/>
        </w:rPr>
        <w:t xml:space="preserve"> </w:t>
      </w:r>
      <w:r w:rsidR="00CE47B9" w:rsidRPr="000836E1">
        <w:rPr>
          <w:rFonts w:cs="David" w:hint="cs"/>
          <w:sz w:val="24"/>
          <w:szCs w:val="24"/>
          <w:rtl/>
        </w:rPr>
        <w:t xml:space="preserve">הסעיף קובע הוראות מיוחדות לגבי חישוב </w:t>
      </w:r>
      <w:proofErr w:type="spellStart"/>
      <w:r w:rsidR="00CE47B9" w:rsidRPr="000836E1">
        <w:rPr>
          <w:rFonts w:cs="David" w:hint="cs"/>
          <w:sz w:val="24"/>
          <w:szCs w:val="24"/>
          <w:rtl/>
        </w:rPr>
        <w:t>רוו"ה</w:t>
      </w:r>
      <w:proofErr w:type="spellEnd"/>
      <w:r w:rsidR="00CE47B9" w:rsidRPr="000836E1">
        <w:rPr>
          <w:rFonts w:cs="David" w:hint="cs"/>
          <w:sz w:val="24"/>
          <w:szCs w:val="24"/>
          <w:rtl/>
        </w:rPr>
        <w:t xml:space="preserve"> כאשר מוכרים שהתקבלו תמורת נכס בהתאם להוראות הסעיפים של 104. במקרה של מכירת מניות יש לחשב כדלקמן:</w:t>
      </w:r>
    </w:p>
    <w:p w:rsidR="00CE47B9" w:rsidRPr="000836E1" w:rsidRDefault="00CE47B9" w:rsidP="00EA2D9B">
      <w:pPr>
        <w:pStyle w:val="a7"/>
        <w:numPr>
          <w:ilvl w:val="0"/>
          <w:numId w:val="8"/>
        </w:numPr>
        <w:spacing w:line="360" w:lineRule="auto"/>
        <w:jc w:val="both"/>
        <w:rPr>
          <w:rFonts w:cs="David"/>
          <w:b/>
          <w:bCs/>
          <w:sz w:val="24"/>
          <w:szCs w:val="24"/>
        </w:rPr>
      </w:pPr>
      <w:r w:rsidRPr="000836E1">
        <w:rPr>
          <w:rFonts w:cs="David" w:hint="cs"/>
          <w:sz w:val="24"/>
          <w:szCs w:val="24"/>
          <w:rtl/>
        </w:rPr>
        <w:t xml:space="preserve">יש לחשב את המחיר המקורי של המניות המוקצות (המחיר המתואם) שהוא שווה ליתרת המחיר המקורי של הנכס שהועבר כשהוא מתואם מיום רכישה הנכס ועד ליום </w:t>
      </w:r>
      <w:r w:rsidRPr="000836E1">
        <w:rPr>
          <w:rFonts w:cs="David" w:hint="cs"/>
          <w:b/>
          <w:bCs/>
          <w:sz w:val="24"/>
          <w:szCs w:val="24"/>
          <w:rtl/>
        </w:rPr>
        <w:t>ההעברה</w:t>
      </w:r>
      <w:r w:rsidRPr="000836E1">
        <w:rPr>
          <w:rFonts w:cs="David" w:hint="cs"/>
          <w:sz w:val="24"/>
          <w:szCs w:val="24"/>
          <w:rtl/>
        </w:rPr>
        <w:t xml:space="preserve">. יש לנכות מהסכום הנ"ל הפסד ריאלי שהיה נוצר אילו נמכר הנכס ביום העברתו לכן אנו משווים לשווי השוק. </w:t>
      </w:r>
      <w:r w:rsidRPr="000836E1">
        <w:rPr>
          <w:rFonts w:cs="David" w:hint="cs"/>
          <w:b/>
          <w:bCs/>
          <w:sz w:val="24"/>
          <w:szCs w:val="24"/>
          <w:rtl/>
        </w:rPr>
        <w:t>יש לוודא שהסכום הנ"ל שחושב לא יפחת מימ"מ של הנכס שהועבר ללא תיאום</w:t>
      </w:r>
    </w:p>
    <w:p w:rsidR="000836E1" w:rsidRPr="000836E1" w:rsidRDefault="00CE47B9" w:rsidP="00EA2D9B">
      <w:pPr>
        <w:pStyle w:val="a7"/>
        <w:numPr>
          <w:ilvl w:val="0"/>
          <w:numId w:val="8"/>
        </w:numPr>
        <w:spacing w:line="360" w:lineRule="auto"/>
        <w:jc w:val="both"/>
        <w:rPr>
          <w:rFonts w:cs="David"/>
          <w:b/>
          <w:bCs/>
          <w:sz w:val="24"/>
          <w:szCs w:val="24"/>
        </w:rPr>
      </w:pPr>
      <w:r w:rsidRPr="000836E1">
        <w:rPr>
          <w:rFonts w:cs="David" w:hint="cs"/>
          <w:sz w:val="24"/>
          <w:szCs w:val="24"/>
          <w:rtl/>
        </w:rPr>
        <w:t>ההפרש בין "המחיר המתואם" לימ"מ הנכס שהועבר. ימ"מ הנכס שהועבר אינה מתואמת עפ"י המדד והיא מחושבת עם הוצאות פחת עד למועד ההעברה . הפרש התיאום מתווסף לתמורה בגין המניות ובנוסף מתווסף לסכום האינפלציוני.</w:t>
      </w:r>
    </w:p>
    <w:p w:rsidR="000836E1" w:rsidRPr="000836E1" w:rsidRDefault="000836E1" w:rsidP="00EA2D9B">
      <w:pPr>
        <w:pStyle w:val="a7"/>
        <w:numPr>
          <w:ilvl w:val="0"/>
          <w:numId w:val="8"/>
        </w:numPr>
        <w:spacing w:line="360" w:lineRule="auto"/>
        <w:jc w:val="both"/>
        <w:rPr>
          <w:rFonts w:cs="David"/>
          <w:b/>
          <w:bCs/>
          <w:sz w:val="24"/>
          <w:szCs w:val="24"/>
        </w:rPr>
      </w:pPr>
      <w:r w:rsidRPr="000836E1">
        <w:rPr>
          <w:rFonts w:ascii="David" w:eastAsiaTheme="minorEastAsia" w:hAnsi="David" w:cs="David" w:hint="cs"/>
          <w:sz w:val="24"/>
          <w:szCs w:val="24"/>
          <w:u w:val="single"/>
          <w:rtl/>
        </w:rPr>
        <w:t xml:space="preserve">מועד רכישת המניות הוא מועד העברת הנכס, אך כאשר מדובר בנכס שנרכש לפני המועד הקובע אי לצורך החלוקה הליניארית של הרווח </w:t>
      </w:r>
      <w:r w:rsidRPr="000836E1">
        <w:rPr>
          <w:rFonts w:ascii="David" w:eastAsiaTheme="minorEastAsia" w:hAnsi="David" w:cs="David" w:hint="cs"/>
          <w:b/>
          <w:bCs/>
          <w:sz w:val="24"/>
          <w:szCs w:val="24"/>
          <w:u w:val="single"/>
          <w:rtl/>
        </w:rPr>
        <w:t>הריאלי</w:t>
      </w:r>
      <w:r w:rsidRPr="000836E1">
        <w:rPr>
          <w:rFonts w:ascii="David" w:eastAsiaTheme="minorEastAsia" w:hAnsi="David" w:cs="David" w:hint="cs"/>
          <w:sz w:val="24"/>
          <w:szCs w:val="24"/>
          <w:u w:val="single"/>
          <w:rtl/>
        </w:rPr>
        <w:t xml:space="preserve"> יש להתייחס ליום רכישת הנכס שהועבר כמועד הרכישה. </w:t>
      </w:r>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b/>
          <w:bCs/>
          <w:sz w:val="24"/>
          <w:szCs w:val="24"/>
          <w:u w:val="single"/>
          <w:rtl/>
        </w:rPr>
        <w:t xml:space="preserve">הערה: </w:t>
      </w:r>
      <w:r w:rsidRPr="000836E1">
        <w:rPr>
          <w:rFonts w:ascii="David" w:eastAsiaTheme="minorEastAsia" w:hAnsi="David" w:cs="David" w:hint="cs"/>
          <w:sz w:val="24"/>
          <w:szCs w:val="24"/>
          <w:rtl/>
        </w:rPr>
        <w:t xml:space="preserve">יחד עם זאת, לא ניתן ליהנות משיעורי מס מופחתים בגין נכס היסטורי </w:t>
      </w:r>
    </w:p>
    <w:p w:rsidR="000836E1" w:rsidRDefault="000836E1" w:rsidP="000836E1">
      <w:pPr>
        <w:spacing w:line="360" w:lineRule="auto"/>
        <w:jc w:val="both"/>
        <w:rPr>
          <w:rFonts w:ascii="David" w:eastAsiaTheme="minorEastAsia" w:hAnsi="David" w:cs="David"/>
          <w:b/>
          <w:bCs/>
          <w:sz w:val="24"/>
          <w:szCs w:val="24"/>
          <w:rtl/>
        </w:rPr>
      </w:pPr>
    </w:p>
    <w:p w:rsidR="000836E1" w:rsidRDefault="000836E1" w:rsidP="000836E1">
      <w:pPr>
        <w:spacing w:line="360" w:lineRule="auto"/>
        <w:jc w:val="both"/>
        <w:rPr>
          <w:rFonts w:ascii="David" w:eastAsiaTheme="minorEastAsia" w:hAnsi="David" w:cs="David"/>
          <w:b/>
          <w:bCs/>
          <w:sz w:val="24"/>
          <w:szCs w:val="24"/>
          <w:rtl/>
        </w:rPr>
      </w:pPr>
    </w:p>
    <w:p w:rsidR="000836E1" w:rsidRDefault="000836E1" w:rsidP="000836E1">
      <w:pPr>
        <w:spacing w:line="360" w:lineRule="auto"/>
        <w:jc w:val="both"/>
        <w:rPr>
          <w:rFonts w:ascii="David" w:eastAsiaTheme="minorEastAsia" w:hAnsi="David" w:cs="David"/>
          <w:b/>
          <w:bCs/>
          <w:sz w:val="24"/>
          <w:szCs w:val="24"/>
          <w:rtl/>
        </w:rPr>
      </w:pPr>
    </w:p>
    <w:p w:rsidR="000836E1" w:rsidRPr="000836E1" w:rsidRDefault="000836E1" w:rsidP="000836E1">
      <w:pPr>
        <w:spacing w:line="360" w:lineRule="auto"/>
        <w:jc w:val="both"/>
        <w:rPr>
          <w:rFonts w:ascii="David" w:eastAsiaTheme="minorEastAsia" w:hAnsi="David" w:cs="David"/>
          <w:b/>
          <w:bCs/>
          <w:sz w:val="24"/>
          <w:szCs w:val="24"/>
          <w:rtl/>
        </w:rPr>
      </w:pPr>
    </w:p>
    <w:p w:rsidR="000836E1" w:rsidRPr="000836E1" w:rsidRDefault="000836E1" w:rsidP="000836E1">
      <w:pPr>
        <w:spacing w:line="360" w:lineRule="auto"/>
        <w:jc w:val="both"/>
        <w:rPr>
          <w:rFonts w:ascii="David" w:eastAsiaTheme="minorEastAsia" w:hAnsi="David" w:cs="David"/>
          <w:b/>
          <w:bCs/>
          <w:sz w:val="24"/>
          <w:szCs w:val="24"/>
          <w:rtl/>
        </w:rPr>
      </w:pP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lastRenderedPageBreak/>
        <w:t xml:space="preserve">דוגמא: ביום 1.1.2000 רכש מר נרקיס בניין משרדים בעלות של 50 אלף ₪ (רכיב הקרקע זניח). ביום 1.1.03 העביר מר נרקיס את הבניין לחברה חדשה בבעלותו המלאה בפטור ממס על פי הוראות סעיף 104א. שווי השוק במועד העברה הינו 90 אלף ₪. ביום 1.1.05 רכש מר אשכול את כל מניותיו של מר נרקיס תמורת 150 אלף ₪. הנחה : פחת על הבניין הוא 4% בשנה. שיעור המס השולי הינו 50% </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מדדים:</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 xml:space="preserve">11.99 </w:t>
      </w:r>
      <w:r w:rsidRPr="000836E1">
        <w:rPr>
          <w:rFonts w:ascii="David" w:eastAsiaTheme="minorEastAsia" w:hAnsi="David" w:cs="David"/>
          <w:b/>
          <w:bCs/>
          <w:sz w:val="24"/>
          <w:szCs w:val="24"/>
          <w:rtl/>
        </w:rPr>
        <w:t>–</w:t>
      </w:r>
      <w:r w:rsidRPr="000836E1">
        <w:rPr>
          <w:rFonts w:ascii="David" w:eastAsiaTheme="minorEastAsia" w:hAnsi="David" w:cs="David" w:hint="cs"/>
          <w:b/>
          <w:bCs/>
          <w:sz w:val="24"/>
          <w:szCs w:val="24"/>
          <w:rtl/>
        </w:rPr>
        <w:t xml:space="preserve"> 100</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 xml:space="preserve">11.02 </w:t>
      </w:r>
      <w:r w:rsidRPr="000836E1">
        <w:rPr>
          <w:rFonts w:ascii="David" w:eastAsiaTheme="minorEastAsia" w:hAnsi="David" w:cs="David"/>
          <w:b/>
          <w:bCs/>
          <w:sz w:val="24"/>
          <w:szCs w:val="24"/>
          <w:rtl/>
        </w:rPr>
        <w:t>–</w:t>
      </w:r>
      <w:r w:rsidRPr="000836E1">
        <w:rPr>
          <w:rFonts w:ascii="David" w:eastAsiaTheme="minorEastAsia" w:hAnsi="David" w:cs="David" w:hint="cs"/>
          <w:b/>
          <w:bCs/>
          <w:sz w:val="24"/>
          <w:szCs w:val="24"/>
          <w:rtl/>
        </w:rPr>
        <w:t xml:space="preserve"> 180</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 xml:space="preserve">11.04 </w:t>
      </w:r>
      <w:r w:rsidRPr="000836E1">
        <w:rPr>
          <w:rFonts w:ascii="David" w:eastAsiaTheme="minorEastAsia" w:hAnsi="David" w:cs="David"/>
          <w:b/>
          <w:bCs/>
          <w:sz w:val="24"/>
          <w:szCs w:val="24"/>
          <w:rtl/>
        </w:rPr>
        <w:t>–</w:t>
      </w:r>
      <w:r w:rsidRPr="000836E1">
        <w:rPr>
          <w:rFonts w:ascii="David" w:eastAsiaTheme="minorEastAsia" w:hAnsi="David" w:cs="David" w:hint="cs"/>
          <w:b/>
          <w:bCs/>
          <w:sz w:val="24"/>
          <w:szCs w:val="24"/>
          <w:rtl/>
        </w:rPr>
        <w:t xml:space="preserve"> 200 </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נדרש: חשב את חבות המס של מר נרקיס</w:t>
      </w:r>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פתרון</w:t>
      </w:r>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b/>
          <w:bCs/>
          <w:sz w:val="24"/>
          <w:szCs w:val="24"/>
          <w:rtl/>
        </w:rPr>
        <w:t>שלב ראשון</w:t>
      </w:r>
      <w:r w:rsidRPr="000836E1">
        <w:rPr>
          <w:rFonts w:ascii="David" w:eastAsiaTheme="minorEastAsia" w:hAnsi="David" w:cs="David" w:hint="cs"/>
          <w:sz w:val="24"/>
          <w:szCs w:val="24"/>
          <w:rtl/>
        </w:rPr>
        <w:t xml:space="preserve">: חישוב המחיר המתואם של המניות </w:t>
      </w:r>
      <w:r w:rsidRPr="000836E1">
        <w:rPr>
          <w:rFonts w:ascii="David" w:eastAsiaTheme="minorEastAsia" w:hAnsi="David" w:cs="David"/>
          <w:sz w:val="24"/>
          <w:szCs w:val="24"/>
          <w:rtl/>
        </w:rPr>
        <w:t>–</w:t>
      </w:r>
      <w:r w:rsidRPr="000836E1">
        <w:rPr>
          <w:rFonts w:ascii="David" w:eastAsiaTheme="minorEastAsia" w:hAnsi="David" w:cs="David" w:hint="cs"/>
          <w:sz w:val="24"/>
          <w:szCs w:val="24"/>
          <w:rtl/>
        </w:rPr>
        <w:t xml:space="preserve"> כנמוך מבין</w:t>
      </w:r>
    </w:p>
    <w:p w:rsidR="000836E1" w:rsidRPr="000836E1" w:rsidRDefault="000836E1" w:rsidP="00EA2D9B">
      <w:pPr>
        <w:pStyle w:val="a7"/>
        <w:numPr>
          <w:ilvl w:val="0"/>
          <w:numId w:val="9"/>
        </w:numPr>
        <w:spacing w:line="360" w:lineRule="auto"/>
        <w:jc w:val="both"/>
        <w:rPr>
          <w:rFonts w:ascii="David" w:eastAsiaTheme="minorEastAsia" w:hAnsi="David" w:cs="David"/>
          <w:sz w:val="24"/>
          <w:szCs w:val="24"/>
        </w:rPr>
      </w:pPr>
      <w:r w:rsidRPr="000836E1">
        <w:rPr>
          <w:rFonts w:ascii="David" w:eastAsiaTheme="minorEastAsia" w:hAnsi="David" w:cs="David" w:hint="cs"/>
          <w:sz w:val="24"/>
          <w:szCs w:val="24"/>
          <w:rtl/>
        </w:rPr>
        <w:t xml:space="preserve">עלות מופחתת מתואמת: </w:t>
      </w:r>
      <m:oMath>
        <m:r>
          <m:rPr>
            <m:sty m:val="p"/>
          </m:rPr>
          <w:rPr>
            <w:rFonts w:ascii="Cambria Math" w:eastAsiaTheme="minorEastAsia" w:hAnsi="Cambria Math" w:cs="David"/>
            <w:sz w:val="24"/>
            <w:szCs w:val="24"/>
          </w:rPr>
          <m:t>50-50*4%*3*</m:t>
        </m:r>
        <m:f>
          <m:fPr>
            <m:ctrlPr>
              <w:rPr>
                <w:rFonts w:ascii="Cambria Math" w:eastAsiaTheme="minorEastAsia" w:hAnsi="Cambria Math" w:cs="David"/>
                <w:sz w:val="24"/>
                <w:szCs w:val="24"/>
              </w:rPr>
            </m:ctrlPr>
          </m:fPr>
          <m:num>
            <m:r>
              <w:rPr>
                <w:rFonts w:ascii="Cambria Math" w:eastAsiaTheme="minorEastAsia" w:hAnsi="Cambria Math" w:cs="David"/>
                <w:sz w:val="24"/>
                <w:szCs w:val="24"/>
              </w:rPr>
              <m:t>180</m:t>
            </m:r>
          </m:num>
          <m:den>
            <m:r>
              <w:rPr>
                <w:rFonts w:ascii="Cambria Math" w:eastAsiaTheme="minorEastAsia" w:hAnsi="Cambria Math" w:cs="David"/>
                <w:sz w:val="24"/>
                <w:szCs w:val="24"/>
              </w:rPr>
              <m:t>100</m:t>
            </m:r>
          </m:den>
        </m:f>
        <m:r>
          <w:rPr>
            <w:rFonts w:ascii="Cambria Math" w:eastAsiaTheme="minorEastAsia" w:hAnsi="Cambria Math" w:cs="David"/>
            <w:sz w:val="24"/>
            <w:szCs w:val="24"/>
          </w:rPr>
          <m:t>=79.200</m:t>
        </m:r>
      </m:oMath>
    </w:p>
    <w:p w:rsidR="000836E1" w:rsidRPr="000836E1" w:rsidRDefault="000836E1" w:rsidP="00EA2D9B">
      <w:pPr>
        <w:pStyle w:val="a7"/>
        <w:numPr>
          <w:ilvl w:val="0"/>
          <w:numId w:val="9"/>
        </w:num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שווי שוק </w:t>
      </w:r>
      <m:oMath>
        <m:r>
          <m:rPr>
            <m:sty m:val="p"/>
          </m:rPr>
          <w:rPr>
            <w:rFonts w:ascii="Cambria Math" w:eastAsiaTheme="minorEastAsia" w:hAnsi="Cambria Math" w:cs="David"/>
            <w:sz w:val="24"/>
            <w:szCs w:val="24"/>
          </w:rPr>
          <m:t>90</m:t>
        </m:r>
      </m:oMath>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נבחר את העלות המופחתת המתואמת </w:t>
      </w:r>
      <w:r w:rsidRPr="000836E1">
        <w:rPr>
          <w:rFonts w:ascii="David" w:eastAsiaTheme="minorEastAsia" w:hAnsi="David" w:cs="David"/>
          <w:sz w:val="24"/>
          <w:szCs w:val="24"/>
          <w:rtl/>
        </w:rPr>
        <w:t>–</w:t>
      </w:r>
      <w:r w:rsidRPr="000836E1">
        <w:rPr>
          <w:rFonts w:ascii="David" w:eastAsiaTheme="minorEastAsia" w:hAnsi="David" w:cs="David" w:hint="cs"/>
          <w:sz w:val="24"/>
          <w:szCs w:val="24"/>
          <w:rtl/>
        </w:rPr>
        <w:t xml:space="preserve"> 79.200</w:t>
      </w:r>
    </w:p>
    <w:p w:rsidR="000836E1" w:rsidRPr="000836E1" w:rsidRDefault="000836E1" w:rsidP="000836E1">
      <w:pPr>
        <w:spacing w:line="360" w:lineRule="auto"/>
        <w:jc w:val="both"/>
        <w:rPr>
          <w:rFonts w:ascii="David" w:eastAsiaTheme="minorEastAsia" w:hAnsi="David" w:cs="David"/>
          <w:sz w:val="24"/>
          <w:szCs w:val="24"/>
        </w:rPr>
      </w:pPr>
      <w:r w:rsidRPr="000836E1">
        <w:rPr>
          <w:rFonts w:ascii="David" w:eastAsiaTheme="minorEastAsia" w:hAnsi="David" w:cs="David" w:hint="cs"/>
          <w:b/>
          <w:bCs/>
          <w:sz w:val="24"/>
          <w:szCs w:val="24"/>
          <w:rtl/>
        </w:rPr>
        <w:t>שלב שני</w:t>
      </w:r>
      <w:r w:rsidRPr="000836E1">
        <w:rPr>
          <w:rFonts w:ascii="David" w:eastAsiaTheme="minorEastAsia" w:hAnsi="David" w:cs="David" w:hint="cs"/>
          <w:sz w:val="24"/>
          <w:szCs w:val="24"/>
          <w:rtl/>
        </w:rPr>
        <w:t xml:space="preserve"> : חישוב הפרש התיאום : </w:t>
      </w:r>
      <m:oMath>
        <m:r>
          <m:rPr>
            <m:sty m:val="p"/>
          </m:rPr>
          <w:rPr>
            <w:rFonts w:ascii="Cambria Math" w:eastAsiaTheme="minorEastAsia" w:hAnsi="Cambria Math" w:cs="David"/>
            <w:sz w:val="24"/>
            <w:szCs w:val="24"/>
          </w:rPr>
          <m:t>79.200-44=35.200</m:t>
        </m:r>
      </m:oMath>
    </w:p>
    <w:p w:rsidR="000836E1" w:rsidRPr="000836E1" w:rsidRDefault="000836E1" w:rsidP="000836E1">
      <w:pPr>
        <w:spacing w:line="360" w:lineRule="auto"/>
        <w:jc w:val="both"/>
        <w:rPr>
          <w:rFonts w:ascii="David" w:eastAsiaTheme="minorEastAsia" w:hAnsi="David" w:cs="David"/>
          <w:b/>
          <w:bCs/>
          <w:sz w:val="24"/>
          <w:szCs w:val="24"/>
          <w:rtl/>
        </w:rPr>
      </w:pPr>
      <w:r w:rsidRPr="000836E1">
        <w:rPr>
          <w:rFonts w:ascii="David" w:eastAsiaTheme="minorEastAsia" w:hAnsi="David" w:cs="David" w:hint="cs"/>
          <w:b/>
          <w:bCs/>
          <w:sz w:val="24"/>
          <w:szCs w:val="24"/>
          <w:rtl/>
        </w:rPr>
        <w:t>חישוב רווח הון ממכירת המניות</w:t>
      </w:r>
    </w:p>
    <w:p w:rsidR="000836E1" w:rsidRPr="000836E1" w:rsidRDefault="000836E1" w:rsidP="000836E1">
      <w:pPr>
        <w:spacing w:line="360" w:lineRule="auto"/>
        <w:jc w:val="both"/>
        <w:rPr>
          <w:rFonts w:ascii="David" w:eastAsiaTheme="minorEastAsia" w:hAnsi="David" w:cs="David"/>
          <w:sz w:val="24"/>
          <w:szCs w:val="24"/>
        </w:rPr>
      </w:pPr>
      <w:r w:rsidRPr="000836E1">
        <w:rPr>
          <w:rFonts w:ascii="David" w:eastAsiaTheme="minorEastAsia" w:hAnsi="David" w:cs="David" w:hint="cs"/>
          <w:sz w:val="24"/>
          <w:szCs w:val="24"/>
          <w:rtl/>
        </w:rPr>
        <w:t xml:space="preserve">תמורה                          </w:t>
      </w:r>
      <m:oMath>
        <m:r>
          <m:rPr>
            <m:sty m:val="p"/>
          </m:rPr>
          <w:rPr>
            <w:rFonts w:ascii="Cambria Math" w:eastAsiaTheme="minorEastAsia" w:hAnsi="Cambria Math" w:cs="David"/>
            <w:sz w:val="24"/>
            <w:szCs w:val="24"/>
          </w:rPr>
          <m:t xml:space="preserve"> 15</m:t>
        </m:r>
        <m:r>
          <w:rPr>
            <w:rFonts w:ascii="Cambria Math" w:eastAsiaTheme="minorEastAsia" w:hAnsi="Cambria Math" w:cs="David"/>
            <w:sz w:val="24"/>
            <w:szCs w:val="24"/>
          </w:rPr>
          <m:t>0+35.200=185.200</m:t>
        </m:r>
      </m:oMath>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מחיר מקורי                 </w:t>
      </w:r>
      <m:oMath>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79.200</m:t>
            </m:r>
          </m:e>
        </m:d>
      </m:oMath>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רווח הון                           </w:t>
      </w:r>
      <m:oMath>
        <m:r>
          <m:rPr>
            <m:sty m:val="p"/>
          </m:rPr>
          <w:rPr>
            <w:rFonts w:ascii="Cambria Math" w:eastAsiaTheme="minorEastAsia" w:hAnsi="Cambria Math" w:cs="David"/>
            <w:sz w:val="24"/>
            <w:szCs w:val="24"/>
          </w:rPr>
          <m:t>106</m:t>
        </m:r>
      </m:oMath>
    </w:p>
    <w:p w:rsidR="000836E1" w:rsidRPr="000836E1" w:rsidRDefault="000836E1" w:rsidP="000836E1">
      <w:pPr>
        <w:spacing w:line="360" w:lineRule="auto"/>
        <w:jc w:val="both"/>
        <w:rPr>
          <w:rFonts w:ascii="David" w:eastAsiaTheme="minorEastAsia" w:hAnsi="David" w:cs="David"/>
          <w:sz w:val="24"/>
          <w:szCs w:val="24"/>
        </w:rPr>
      </w:pPr>
      <w:r w:rsidRPr="000836E1">
        <w:rPr>
          <w:rFonts w:ascii="David" w:eastAsiaTheme="minorEastAsia" w:hAnsi="David" w:cs="David" w:hint="cs"/>
          <w:sz w:val="24"/>
          <w:szCs w:val="24"/>
          <w:rtl/>
        </w:rPr>
        <w:t xml:space="preserve">חישוב סכום אינפלציוני  </w:t>
      </w:r>
      <m:oMath>
        <m:r>
          <m:rPr>
            <m:sty m:val="p"/>
          </m:rPr>
          <w:rPr>
            <w:rFonts w:ascii="Cambria Math" w:eastAsiaTheme="minorEastAsia" w:hAnsi="Cambria Math" w:cs="David"/>
            <w:sz w:val="24"/>
            <w:szCs w:val="24"/>
          </w:rPr>
          <m:t>79.200*</m:t>
        </m:r>
        <m:d>
          <m:dPr>
            <m:ctrlPr>
              <w:rPr>
                <w:rFonts w:ascii="Cambria Math" w:eastAsiaTheme="minorEastAsia" w:hAnsi="Cambria Math" w:cs="David"/>
                <w:i/>
                <w:sz w:val="24"/>
                <w:szCs w:val="24"/>
              </w:rPr>
            </m:ctrlPr>
          </m:dPr>
          <m:e>
            <m:f>
              <m:fPr>
                <m:ctrlPr>
                  <w:rPr>
                    <w:rFonts w:ascii="Cambria Math" w:eastAsiaTheme="minorEastAsia" w:hAnsi="Cambria Math" w:cs="David"/>
                    <w:i/>
                    <w:sz w:val="24"/>
                    <w:szCs w:val="24"/>
                  </w:rPr>
                </m:ctrlPr>
              </m:fPr>
              <m:num>
                <m:r>
                  <w:rPr>
                    <w:rFonts w:ascii="Cambria Math" w:eastAsiaTheme="minorEastAsia" w:hAnsi="Cambria Math" w:cs="David"/>
                    <w:sz w:val="24"/>
                    <w:szCs w:val="24"/>
                  </w:rPr>
                  <m:t>200</m:t>
                </m:r>
              </m:num>
              <m:den>
                <m:r>
                  <w:rPr>
                    <w:rFonts w:ascii="Cambria Math" w:eastAsiaTheme="minorEastAsia" w:hAnsi="Cambria Math" w:cs="David"/>
                    <w:sz w:val="24"/>
                    <w:szCs w:val="24"/>
                  </w:rPr>
                  <m:t>180</m:t>
                </m:r>
              </m:den>
            </m:f>
            <m:r>
              <w:rPr>
                <w:rFonts w:ascii="Cambria Math" w:eastAsiaTheme="minorEastAsia" w:hAnsi="Cambria Math" w:cs="David"/>
                <w:sz w:val="24"/>
                <w:szCs w:val="24"/>
              </w:rPr>
              <m:t>-1</m:t>
            </m:r>
          </m:e>
        </m:d>
        <m:r>
          <w:rPr>
            <w:rFonts w:ascii="Cambria Math" w:eastAsiaTheme="minorEastAsia" w:hAnsi="Cambria Math" w:cs="David"/>
            <w:sz w:val="24"/>
            <w:szCs w:val="24"/>
          </w:rPr>
          <m:t>=8.800</m:t>
        </m:r>
      </m:oMath>
    </w:p>
    <w:p w:rsidR="000836E1" w:rsidRPr="000836E1" w:rsidRDefault="000836E1" w:rsidP="000836E1">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אינפלציוני נוסף    </w:t>
      </w:r>
      <w:r w:rsidRPr="000836E1">
        <w:rPr>
          <w:rFonts w:ascii="David" w:eastAsiaTheme="minorEastAsia" w:hAnsi="David" w:cs="David" w:hint="cs"/>
          <w:sz w:val="24"/>
          <w:szCs w:val="24"/>
          <w:rtl/>
        </w:rPr>
        <w:t xml:space="preserve">        </w:t>
      </w:r>
      <m:oMath>
        <m:r>
          <m:rPr>
            <m:sty m:val="p"/>
          </m:rPr>
          <w:rPr>
            <w:rFonts w:ascii="Cambria Math" w:eastAsiaTheme="minorEastAsia" w:hAnsi="Cambria Math" w:cs="David"/>
            <w:sz w:val="24"/>
            <w:szCs w:val="24"/>
          </w:rPr>
          <m:t>35.200</m:t>
        </m:r>
      </m:oMath>
    </w:p>
    <w:p w:rsidR="000836E1" w:rsidRPr="000836E1" w:rsidRDefault="000836E1" w:rsidP="000836E1">
      <w:pPr>
        <w:spacing w:line="360" w:lineRule="auto"/>
        <w:jc w:val="both"/>
        <w:rPr>
          <w:rFonts w:ascii="David" w:eastAsiaTheme="minorEastAsia" w:hAnsi="David" w:cs="David"/>
          <w:sz w:val="24"/>
          <w:szCs w:val="24"/>
        </w:rPr>
      </w:pPr>
      <w:r w:rsidRPr="000836E1">
        <w:rPr>
          <w:rFonts w:ascii="David" w:eastAsiaTheme="minorEastAsia" w:hAnsi="David" w:cs="David" w:hint="cs"/>
          <w:sz w:val="24"/>
          <w:szCs w:val="24"/>
          <w:rtl/>
        </w:rPr>
        <w:t xml:space="preserve">רווח הון ריאלי </w:t>
      </w:r>
      <m:oMath>
        <m:r>
          <m:rPr>
            <m:sty m:val="p"/>
          </m:rPr>
          <w:rPr>
            <w:rFonts w:ascii="Cambria Math" w:eastAsiaTheme="minorEastAsia" w:hAnsi="Cambria Math" w:cs="David"/>
            <w:sz w:val="24"/>
            <w:szCs w:val="24"/>
          </w:rPr>
          <m:t>6</m:t>
        </m:r>
        <m:r>
          <w:rPr>
            <w:rFonts w:ascii="Cambria Math" w:eastAsiaTheme="minorEastAsia" w:hAnsi="Cambria Math" w:cs="David"/>
            <w:sz w:val="24"/>
            <w:szCs w:val="24"/>
          </w:rPr>
          <m:t>2</m:t>
        </m:r>
      </m:oMath>
    </w:p>
    <w:p w:rsidR="000836E1" w:rsidRPr="000836E1" w:rsidRDefault="000836E1" w:rsidP="000836E1">
      <w:pPr>
        <w:spacing w:line="360" w:lineRule="auto"/>
        <w:jc w:val="both"/>
        <w:rPr>
          <w:rFonts w:ascii="David" w:eastAsiaTheme="minorEastAsia" w:hAnsi="David" w:cs="David"/>
          <w:sz w:val="24"/>
          <w:szCs w:val="24"/>
          <w:u w:val="single"/>
          <w:rtl/>
        </w:rPr>
      </w:pPr>
      <w:r w:rsidRPr="000836E1">
        <w:rPr>
          <w:rFonts w:ascii="David" w:eastAsiaTheme="minorEastAsia" w:hAnsi="David" w:cs="David" w:hint="cs"/>
          <w:sz w:val="24"/>
          <w:szCs w:val="24"/>
          <w:u w:val="single"/>
          <w:rtl/>
        </w:rPr>
        <w:t>פיצול רווח ההון</w:t>
      </w:r>
    </w:p>
    <w:p w:rsidR="000836E1" w:rsidRPr="000836E1" w:rsidRDefault="000836E1" w:rsidP="000836E1">
      <w:p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לפני המועד הקובע          </w:t>
      </w:r>
      <m:oMath>
        <m:f>
          <m:fPr>
            <m:ctrlPr>
              <w:rPr>
                <w:rFonts w:ascii="Cambria Math" w:eastAsiaTheme="minorEastAsia" w:hAnsi="Cambria Math" w:cs="David"/>
                <w:sz w:val="24"/>
                <w:szCs w:val="24"/>
              </w:rPr>
            </m:ctrlPr>
          </m:fPr>
          <m:num>
            <m:r>
              <w:rPr>
                <w:rFonts w:ascii="Cambria Math" w:eastAsiaTheme="minorEastAsia" w:hAnsi="Cambria Math" w:cs="David"/>
                <w:sz w:val="24"/>
                <w:szCs w:val="24"/>
              </w:rPr>
              <m:t>3</m:t>
            </m:r>
          </m:num>
          <m:den>
            <m:r>
              <w:rPr>
                <w:rFonts w:ascii="Cambria Math" w:eastAsiaTheme="minorEastAsia" w:hAnsi="Cambria Math" w:cs="David"/>
                <w:sz w:val="24"/>
                <w:szCs w:val="24"/>
              </w:rPr>
              <m:t>5</m:t>
            </m:r>
          </m:den>
        </m:f>
        <m:r>
          <m:rPr>
            <m:sty m:val="p"/>
          </m:rPr>
          <w:rPr>
            <w:rFonts w:ascii="Cambria Math" w:eastAsiaTheme="minorEastAsia" w:hAnsi="Cambria Math" w:cs="David"/>
            <w:sz w:val="24"/>
            <w:szCs w:val="24"/>
          </w:rPr>
          <m:t>*62=37.200</m:t>
        </m:r>
      </m:oMath>
      <w:r w:rsidRPr="000836E1">
        <w:rPr>
          <w:rFonts w:ascii="David" w:eastAsiaTheme="minorEastAsia" w:hAnsi="David" w:cs="David" w:hint="cs"/>
          <w:sz w:val="24"/>
          <w:szCs w:val="24"/>
          <w:rtl/>
        </w:rPr>
        <w:t xml:space="preserve"> </w:t>
      </w:r>
      <w:r w:rsidRPr="000836E1">
        <w:rPr>
          <w:rFonts w:ascii="David" w:eastAsiaTheme="minorEastAsia" w:hAnsi="David" w:cs="David"/>
          <w:sz w:val="24"/>
          <w:szCs w:val="24"/>
          <w:rtl/>
        </w:rPr>
        <w:t>–</w:t>
      </w:r>
      <w:r w:rsidRPr="000836E1">
        <w:rPr>
          <w:rFonts w:ascii="David" w:eastAsiaTheme="minorEastAsia" w:hAnsi="David" w:cs="David" w:hint="cs"/>
          <w:sz w:val="24"/>
          <w:szCs w:val="24"/>
          <w:rtl/>
        </w:rPr>
        <w:t xml:space="preserve"> 50%</w:t>
      </w:r>
    </w:p>
    <w:p w:rsidR="00067034" w:rsidRPr="00527EA3" w:rsidRDefault="000836E1" w:rsidP="00527EA3">
      <w:pPr>
        <w:spacing w:line="360" w:lineRule="auto"/>
        <w:jc w:val="both"/>
        <w:rPr>
          <w:rFonts w:ascii="David" w:eastAsiaTheme="minorEastAsia" w:hAnsi="David" w:cs="David"/>
          <w:sz w:val="24"/>
          <w:szCs w:val="24"/>
          <w:rtl/>
        </w:rPr>
      </w:pPr>
      <w:r w:rsidRPr="000836E1">
        <w:rPr>
          <w:rFonts w:ascii="David" w:eastAsiaTheme="minorEastAsia" w:hAnsi="David" w:cs="David" w:hint="cs"/>
          <w:sz w:val="24"/>
          <w:szCs w:val="24"/>
          <w:rtl/>
        </w:rPr>
        <w:t xml:space="preserve">אחרי המועד הקובע    </w:t>
      </w:r>
      <m:oMath>
        <m:f>
          <m:fPr>
            <m:ctrlPr>
              <w:rPr>
                <w:rFonts w:ascii="Cambria Math" w:eastAsiaTheme="minorEastAsia" w:hAnsi="Cambria Math" w:cs="David"/>
                <w:sz w:val="24"/>
                <w:szCs w:val="24"/>
              </w:rPr>
            </m:ctrlPr>
          </m:fPr>
          <m:num>
            <m:r>
              <w:rPr>
                <w:rFonts w:ascii="Cambria Math" w:eastAsiaTheme="minorEastAsia" w:hAnsi="Cambria Math" w:cs="David"/>
                <w:sz w:val="24"/>
                <w:szCs w:val="24"/>
              </w:rPr>
              <m:t>2</m:t>
            </m:r>
          </m:num>
          <m:den>
            <m:r>
              <w:rPr>
                <w:rFonts w:ascii="Cambria Math" w:eastAsiaTheme="minorEastAsia" w:hAnsi="Cambria Math" w:cs="David"/>
                <w:sz w:val="24"/>
                <w:szCs w:val="24"/>
              </w:rPr>
              <m:t>5</m:t>
            </m:r>
          </m:den>
        </m:f>
        <m:r>
          <m:rPr>
            <m:sty m:val="p"/>
          </m:rPr>
          <w:rPr>
            <w:rFonts w:ascii="Cambria Math" w:eastAsiaTheme="minorEastAsia" w:hAnsi="Cambria Math" w:cs="David"/>
            <w:sz w:val="24"/>
            <w:szCs w:val="24"/>
          </w:rPr>
          <m:t>*62=24.800</m:t>
        </m:r>
      </m:oMath>
    </w:p>
    <w:sectPr w:rsidR="00067034" w:rsidRPr="00527EA3" w:rsidSect="00993DC2">
      <w:headerReference w:type="default" r:id="rId18"/>
      <w:footerReference w:type="default" r:id="rId19"/>
      <w:pgSz w:w="11906" w:h="16838"/>
      <w:pgMar w:top="1440" w:right="1800" w:bottom="1440" w:left="1800" w:header="708" w:footer="708" w:gutter="0"/>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91" w:rsidRDefault="00296691" w:rsidP="00F172F9">
      <w:pPr>
        <w:spacing w:after="0" w:line="240" w:lineRule="auto"/>
      </w:pPr>
      <w:r>
        <w:separator/>
      </w:r>
    </w:p>
  </w:endnote>
  <w:endnote w:type="continuationSeparator" w:id="0">
    <w:p w:rsidR="00296691" w:rsidRDefault="0029669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E90188" w:rsidRPr="00E90188">
          <w:rPr>
            <w:noProof/>
            <w:rtl/>
            <w:lang w:val="he-IL"/>
          </w:rPr>
          <w:t>9</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91" w:rsidRDefault="00296691" w:rsidP="00F172F9">
      <w:pPr>
        <w:spacing w:after="0" w:line="240" w:lineRule="auto"/>
      </w:pPr>
      <w:r>
        <w:separator/>
      </w:r>
    </w:p>
  </w:footnote>
  <w:footnote w:type="continuationSeparator" w:id="0">
    <w:p w:rsidR="00296691" w:rsidRDefault="0029669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E90188">
      <w:rPr>
        <w:rFonts w:cs="David" w:hint="cs"/>
        <w:sz w:val="24"/>
        <w:szCs w:val="24"/>
        <w:rtl/>
      </w:rPr>
      <w:t>24</w:t>
    </w:r>
    <w:r>
      <w:rPr>
        <w:rFonts w:cs="David" w:hint="cs"/>
        <w:sz w:val="24"/>
        <w:szCs w:val="24"/>
        <w:rtl/>
      </w:rPr>
      <w:t>/02/14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70FCA"/>
    <w:multiLevelType w:val="hybridMultilevel"/>
    <w:tmpl w:val="54E44514"/>
    <w:lvl w:ilvl="0" w:tplc="07B87C0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22F44"/>
    <w:multiLevelType w:val="hybridMultilevel"/>
    <w:tmpl w:val="367C86F6"/>
    <w:lvl w:ilvl="0" w:tplc="56D0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670B"/>
    <w:multiLevelType w:val="hybridMultilevel"/>
    <w:tmpl w:val="AEFA518A"/>
    <w:lvl w:ilvl="0" w:tplc="54A24C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30A66"/>
    <w:multiLevelType w:val="hybridMultilevel"/>
    <w:tmpl w:val="A70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6978"/>
    <w:multiLevelType w:val="hybridMultilevel"/>
    <w:tmpl w:val="4D6C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361EC"/>
    <w:multiLevelType w:val="hybridMultilevel"/>
    <w:tmpl w:val="355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C1827"/>
    <w:multiLevelType w:val="hybridMultilevel"/>
    <w:tmpl w:val="CC2EAB40"/>
    <w:lvl w:ilvl="0" w:tplc="31A04F54">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0D05A2"/>
    <w:multiLevelType w:val="hybridMultilevel"/>
    <w:tmpl w:val="D9F66BA6"/>
    <w:lvl w:ilvl="0" w:tplc="2EBC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8434C2"/>
    <w:multiLevelType w:val="hybridMultilevel"/>
    <w:tmpl w:val="B90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7726"/>
    <w:rsid w:val="00067034"/>
    <w:rsid w:val="000711EB"/>
    <w:rsid w:val="00074CE5"/>
    <w:rsid w:val="000836E1"/>
    <w:rsid w:val="000945A1"/>
    <w:rsid w:val="000A25BC"/>
    <w:rsid w:val="000B0A06"/>
    <w:rsid w:val="000C04AC"/>
    <w:rsid w:val="000E0AF4"/>
    <w:rsid w:val="000E2361"/>
    <w:rsid w:val="000E2D7F"/>
    <w:rsid w:val="000E635D"/>
    <w:rsid w:val="000F0A4E"/>
    <w:rsid w:val="000F5666"/>
    <w:rsid w:val="001040B2"/>
    <w:rsid w:val="00105D60"/>
    <w:rsid w:val="00110927"/>
    <w:rsid w:val="001149FD"/>
    <w:rsid w:val="00141690"/>
    <w:rsid w:val="00141C1F"/>
    <w:rsid w:val="001528B5"/>
    <w:rsid w:val="001732EE"/>
    <w:rsid w:val="00177F4F"/>
    <w:rsid w:val="00181A5B"/>
    <w:rsid w:val="001822E1"/>
    <w:rsid w:val="00191DBE"/>
    <w:rsid w:val="001C767B"/>
    <w:rsid w:val="001E6DAB"/>
    <w:rsid w:val="001F380B"/>
    <w:rsid w:val="00216E13"/>
    <w:rsid w:val="002540A4"/>
    <w:rsid w:val="00255E31"/>
    <w:rsid w:val="00273D67"/>
    <w:rsid w:val="00291642"/>
    <w:rsid w:val="00296691"/>
    <w:rsid w:val="002F0F21"/>
    <w:rsid w:val="002F42B7"/>
    <w:rsid w:val="003202F6"/>
    <w:rsid w:val="00327B3D"/>
    <w:rsid w:val="00357D7E"/>
    <w:rsid w:val="00364AAF"/>
    <w:rsid w:val="0036592B"/>
    <w:rsid w:val="003701A4"/>
    <w:rsid w:val="0037079A"/>
    <w:rsid w:val="003716B5"/>
    <w:rsid w:val="003A4E5D"/>
    <w:rsid w:val="003B16E1"/>
    <w:rsid w:val="003E11E4"/>
    <w:rsid w:val="003F00CA"/>
    <w:rsid w:val="00431510"/>
    <w:rsid w:val="00441C02"/>
    <w:rsid w:val="00447CBD"/>
    <w:rsid w:val="00455E77"/>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83630"/>
    <w:rsid w:val="005A7E0C"/>
    <w:rsid w:val="005B1FE5"/>
    <w:rsid w:val="005C14D9"/>
    <w:rsid w:val="005D2079"/>
    <w:rsid w:val="005F7FCF"/>
    <w:rsid w:val="00613AFB"/>
    <w:rsid w:val="006154DB"/>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F096A"/>
    <w:rsid w:val="006F2E48"/>
    <w:rsid w:val="006F5E4B"/>
    <w:rsid w:val="00702A1C"/>
    <w:rsid w:val="00705FCC"/>
    <w:rsid w:val="00725398"/>
    <w:rsid w:val="00725A43"/>
    <w:rsid w:val="00730C72"/>
    <w:rsid w:val="0074281D"/>
    <w:rsid w:val="00746D2D"/>
    <w:rsid w:val="00755965"/>
    <w:rsid w:val="0077222F"/>
    <w:rsid w:val="00777F80"/>
    <w:rsid w:val="007A4CDA"/>
    <w:rsid w:val="007C61DA"/>
    <w:rsid w:val="007D2808"/>
    <w:rsid w:val="007F7F49"/>
    <w:rsid w:val="008229E1"/>
    <w:rsid w:val="00834C62"/>
    <w:rsid w:val="008630BF"/>
    <w:rsid w:val="00892E3F"/>
    <w:rsid w:val="008954AF"/>
    <w:rsid w:val="008B5CC5"/>
    <w:rsid w:val="008C369A"/>
    <w:rsid w:val="0093791D"/>
    <w:rsid w:val="00944800"/>
    <w:rsid w:val="00953E39"/>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721A2"/>
    <w:rsid w:val="00A844E8"/>
    <w:rsid w:val="00A91570"/>
    <w:rsid w:val="00AB0B99"/>
    <w:rsid w:val="00AB4C0D"/>
    <w:rsid w:val="00AD68B9"/>
    <w:rsid w:val="00AF37D1"/>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BA0"/>
    <w:rsid w:val="00CE47B9"/>
    <w:rsid w:val="00CE4C14"/>
    <w:rsid w:val="00CF597C"/>
    <w:rsid w:val="00D0419F"/>
    <w:rsid w:val="00D154EF"/>
    <w:rsid w:val="00D16042"/>
    <w:rsid w:val="00D24CA0"/>
    <w:rsid w:val="00D26696"/>
    <w:rsid w:val="00D3167C"/>
    <w:rsid w:val="00D44F75"/>
    <w:rsid w:val="00D50990"/>
    <w:rsid w:val="00D54A48"/>
    <w:rsid w:val="00D8578E"/>
    <w:rsid w:val="00DA3B20"/>
    <w:rsid w:val="00DC36EB"/>
    <w:rsid w:val="00DC3D9A"/>
    <w:rsid w:val="00DD74F9"/>
    <w:rsid w:val="00DE193C"/>
    <w:rsid w:val="00DF5A11"/>
    <w:rsid w:val="00E17F97"/>
    <w:rsid w:val="00E408D0"/>
    <w:rsid w:val="00E42A69"/>
    <w:rsid w:val="00E43EE9"/>
    <w:rsid w:val="00E45731"/>
    <w:rsid w:val="00E509B3"/>
    <w:rsid w:val="00E55D8E"/>
    <w:rsid w:val="00E61CD3"/>
    <w:rsid w:val="00E90188"/>
    <w:rsid w:val="00E91741"/>
    <w:rsid w:val="00EA2D9B"/>
    <w:rsid w:val="00ED193C"/>
    <w:rsid w:val="00ED2B51"/>
    <w:rsid w:val="00F13610"/>
    <w:rsid w:val="00F172F9"/>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80D35-1A02-429E-A06C-DB9483002A96}"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2A2CDA6B-0ACD-46FF-98DD-C338925E7EB3}">
      <dgm:prSet phldrT="[טקסט]"/>
      <dgm:spPr/>
      <dgm:t>
        <a:bodyPr/>
        <a:lstStyle/>
        <a:p>
          <a:pPr rtl="1"/>
          <a:r>
            <a:rPr lang="he-IL">
              <a:latin typeface="David" panose="020E0502060401010101" pitchFamily="34" charset="-79"/>
              <a:cs typeface="David" panose="020E0502060401010101" pitchFamily="34" charset="-79"/>
            </a:rPr>
            <a:t>חברה א'</a:t>
          </a:r>
        </a:p>
      </dgm:t>
    </dgm:pt>
    <dgm:pt modelId="{FD268E14-FD0D-47B6-89FB-C35CF15710A7}" type="parTrans" cxnId="{1EDBFEBD-A9AD-4115-BC9C-BDF831C70EFE}">
      <dgm:prSet/>
      <dgm:spPr/>
      <dgm:t>
        <a:bodyPr/>
        <a:lstStyle/>
        <a:p>
          <a:pPr rtl="1"/>
          <a:endParaRPr lang="he-IL"/>
        </a:p>
      </dgm:t>
    </dgm:pt>
    <dgm:pt modelId="{09AEDDAF-2C81-48BC-B1B2-5F34FBBAD8BA}" type="sibTrans" cxnId="{1EDBFEBD-A9AD-4115-BC9C-BDF831C70EFE}">
      <dgm:prSet/>
      <dgm:spPr/>
      <dgm:t>
        <a:bodyPr/>
        <a:lstStyle/>
        <a:p>
          <a:pPr rtl="1"/>
          <a:endParaRPr lang="he-IL"/>
        </a:p>
      </dgm:t>
    </dgm:pt>
    <dgm:pt modelId="{4C8B6F25-90FA-4486-B974-627F372C10A1}">
      <dgm:prSet phldrT="[טקסט]" custT="1"/>
      <dgm:spPr/>
      <dgm:t>
        <a:bodyPr/>
        <a:lstStyle/>
        <a:p>
          <a:pPr rtl="1"/>
          <a:r>
            <a:rPr lang="he-IL" sz="1800">
              <a:latin typeface="David" panose="020E0502060401010101" pitchFamily="34" charset="-79"/>
              <a:cs typeface="David" panose="020E0502060401010101" pitchFamily="34" charset="-79"/>
            </a:rPr>
            <a:t>ב- 60%</a:t>
          </a:r>
        </a:p>
      </dgm:t>
    </dgm:pt>
    <dgm:pt modelId="{4DC06440-CCCC-44D4-AF7D-7AA11F92B26C}" type="parTrans" cxnId="{3CB6D1EA-331D-463A-83D3-3E8261C0EA27}">
      <dgm:prSet/>
      <dgm:spPr/>
      <dgm:t>
        <a:bodyPr/>
        <a:lstStyle/>
        <a:p>
          <a:pPr rtl="1"/>
          <a:endParaRPr lang="he-IL"/>
        </a:p>
      </dgm:t>
    </dgm:pt>
    <dgm:pt modelId="{5E47ED9F-7C98-4588-B08F-0CE93BB9F0D6}" type="sibTrans" cxnId="{3CB6D1EA-331D-463A-83D3-3E8261C0EA27}">
      <dgm:prSet/>
      <dgm:spPr/>
      <dgm:t>
        <a:bodyPr/>
        <a:lstStyle/>
        <a:p>
          <a:pPr rtl="1"/>
          <a:endParaRPr lang="he-IL"/>
        </a:p>
      </dgm:t>
    </dgm:pt>
    <dgm:pt modelId="{F5136324-F11A-45E5-9C87-B5F1CB0E5D30}">
      <dgm:prSet phldrT="[טקסט]" custT="1"/>
      <dgm:spPr/>
      <dgm:t>
        <a:bodyPr/>
        <a:lstStyle/>
        <a:p>
          <a:pPr rtl="1"/>
          <a:r>
            <a:rPr lang="he-IL" sz="1800">
              <a:latin typeface="David" panose="020E0502060401010101" pitchFamily="34" charset="-79"/>
              <a:cs typeface="David" panose="020E0502060401010101" pitchFamily="34" charset="-79"/>
            </a:rPr>
            <a:t>א- 40%</a:t>
          </a:r>
        </a:p>
      </dgm:t>
    </dgm:pt>
    <dgm:pt modelId="{AD19FD29-19A1-4CCE-81D0-38DBDF2117D4}" type="parTrans" cxnId="{B0D1A3F2-FF98-438B-A26D-F190799CCC85}">
      <dgm:prSet/>
      <dgm:spPr/>
      <dgm:t>
        <a:bodyPr/>
        <a:lstStyle/>
        <a:p>
          <a:pPr rtl="1"/>
          <a:endParaRPr lang="he-IL"/>
        </a:p>
      </dgm:t>
    </dgm:pt>
    <dgm:pt modelId="{57269F97-39C0-45C6-A043-9EAF1C8CE23B}" type="sibTrans" cxnId="{B0D1A3F2-FF98-438B-A26D-F190799CCC85}">
      <dgm:prSet/>
      <dgm:spPr/>
      <dgm:t>
        <a:bodyPr/>
        <a:lstStyle/>
        <a:p>
          <a:pPr rtl="1"/>
          <a:endParaRPr lang="he-IL"/>
        </a:p>
      </dgm:t>
    </dgm:pt>
    <dgm:pt modelId="{14217158-7741-4040-A070-B38A0A62D126}" type="pres">
      <dgm:prSet presAssocID="{4BD80D35-1A02-429E-A06C-DB9483002A96}" presName="cycle" presStyleCnt="0">
        <dgm:presLayoutVars>
          <dgm:chMax val="1"/>
          <dgm:dir/>
          <dgm:animLvl val="ctr"/>
          <dgm:resizeHandles val="exact"/>
        </dgm:presLayoutVars>
      </dgm:prSet>
      <dgm:spPr/>
      <dgm:t>
        <a:bodyPr/>
        <a:lstStyle/>
        <a:p>
          <a:pPr rtl="1"/>
          <a:endParaRPr lang="he-IL"/>
        </a:p>
      </dgm:t>
    </dgm:pt>
    <dgm:pt modelId="{359E6C8F-BAA7-44F9-AB1B-448F8896A2D3}" type="pres">
      <dgm:prSet presAssocID="{2A2CDA6B-0ACD-46FF-98DD-C338925E7EB3}" presName="centerShape" presStyleLbl="node0" presStyleIdx="0" presStyleCnt="1"/>
      <dgm:spPr/>
      <dgm:t>
        <a:bodyPr/>
        <a:lstStyle/>
        <a:p>
          <a:pPr rtl="1"/>
          <a:endParaRPr lang="he-IL"/>
        </a:p>
      </dgm:t>
    </dgm:pt>
    <dgm:pt modelId="{F3BE9958-690F-4046-A5C4-BBA6DF18E721}" type="pres">
      <dgm:prSet presAssocID="{4DC06440-CCCC-44D4-AF7D-7AA11F92B26C}" presName="parTrans" presStyleLbl="bgSibTrans2D1" presStyleIdx="0" presStyleCnt="2"/>
      <dgm:spPr/>
      <dgm:t>
        <a:bodyPr/>
        <a:lstStyle/>
        <a:p>
          <a:pPr rtl="1"/>
          <a:endParaRPr lang="he-IL"/>
        </a:p>
      </dgm:t>
    </dgm:pt>
    <dgm:pt modelId="{E552DD0C-8298-44F0-97A0-0344A86687A2}" type="pres">
      <dgm:prSet presAssocID="{4C8B6F25-90FA-4486-B974-627F372C10A1}" presName="node" presStyleLbl="node1" presStyleIdx="0" presStyleCnt="2">
        <dgm:presLayoutVars>
          <dgm:bulletEnabled val="1"/>
        </dgm:presLayoutVars>
      </dgm:prSet>
      <dgm:spPr/>
      <dgm:t>
        <a:bodyPr/>
        <a:lstStyle/>
        <a:p>
          <a:pPr rtl="1"/>
          <a:endParaRPr lang="he-IL"/>
        </a:p>
      </dgm:t>
    </dgm:pt>
    <dgm:pt modelId="{898A0615-A09B-4B2A-BCBB-EC53D5897126}" type="pres">
      <dgm:prSet presAssocID="{AD19FD29-19A1-4CCE-81D0-38DBDF2117D4}" presName="parTrans" presStyleLbl="bgSibTrans2D1" presStyleIdx="1" presStyleCnt="2"/>
      <dgm:spPr/>
      <dgm:t>
        <a:bodyPr/>
        <a:lstStyle/>
        <a:p>
          <a:pPr rtl="1"/>
          <a:endParaRPr lang="he-IL"/>
        </a:p>
      </dgm:t>
    </dgm:pt>
    <dgm:pt modelId="{A47608C3-F2D8-4C04-8FF8-F3F4221FC14E}" type="pres">
      <dgm:prSet presAssocID="{F5136324-F11A-45E5-9C87-B5F1CB0E5D30}" presName="node" presStyleLbl="node1" presStyleIdx="1" presStyleCnt="2">
        <dgm:presLayoutVars>
          <dgm:bulletEnabled val="1"/>
        </dgm:presLayoutVars>
      </dgm:prSet>
      <dgm:spPr/>
      <dgm:t>
        <a:bodyPr/>
        <a:lstStyle/>
        <a:p>
          <a:pPr rtl="1"/>
          <a:endParaRPr lang="he-IL"/>
        </a:p>
      </dgm:t>
    </dgm:pt>
  </dgm:ptLst>
  <dgm:cxnLst>
    <dgm:cxn modelId="{1CAD83CF-D334-4BE8-A9C6-2B66258E0E1F}" type="presOf" srcId="{2A2CDA6B-0ACD-46FF-98DD-C338925E7EB3}" destId="{359E6C8F-BAA7-44F9-AB1B-448F8896A2D3}" srcOrd="0" destOrd="0" presId="urn:microsoft.com/office/officeart/2005/8/layout/radial4"/>
    <dgm:cxn modelId="{6A6C8176-539A-4180-9A8D-3C6FB72843C5}" type="presOf" srcId="{4DC06440-CCCC-44D4-AF7D-7AA11F92B26C}" destId="{F3BE9958-690F-4046-A5C4-BBA6DF18E721}" srcOrd="0" destOrd="0" presId="urn:microsoft.com/office/officeart/2005/8/layout/radial4"/>
    <dgm:cxn modelId="{1EDBFEBD-A9AD-4115-BC9C-BDF831C70EFE}" srcId="{4BD80D35-1A02-429E-A06C-DB9483002A96}" destId="{2A2CDA6B-0ACD-46FF-98DD-C338925E7EB3}" srcOrd="0" destOrd="0" parTransId="{FD268E14-FD0D-47B6-89FB-C35CF15710A7}" sibTransId="{09AEDDAF-2C81-48BC-B1B2-5F34FBBAD8BA}"/>
    <dgm:cxn modelId="{3CB6D1EA-331D-463A-83D3-3E8261C0EA27}" srcId="{2A2CDA6B-0ACD-46FF-98DD-C338925E7EB3}" destId="{4C8B6F25-90FA-4486-B974-627F372C10A1}" srcOrd="0" destOrd="0" parTransId="{4DC06440-CCCC-44D4-AF7D-7AA11F92B26C}" sibTransId="{5E47ED9F-7C98-4588-B08F-0CE93BB9F0D6}"/>
    <dgm:cxn modelId="{6CEF6800-DD4D-48F3-8B38-7F1D019A6604}" type="presOf" srcId="{4C8B6F25-90FA-4486-B974-627F372C10A1}" destId="{E552DD0C-8298-44F0-97A0-0344A86687A2}" srcOrd="0" destOrd="0" presId="urn:microsoft.com/office/officeart/2005/8/layout/radial4"/>
    <dgm:cxn modelId="{C0267E95-FEF5-4782-9020-B44445D1984B}" type="presOf" srcId="{AD19FD29-19A1-4CCE-81D0-38DBDF2117D4}" destId="{898A0615-A09B-4B2A-BCBB-EC53D5897126}" srcOrd="0" destOrd="0" presId="urn:microsoft.com/office/officeart/2005/8/layout/radial4"/>
    <dgm:cxn modelId="{B0D1A3F2-FF98-438B-A26D-F190799CCC85}" srcId="{2A2CDA6B-0ACD-46FF-98DD-C338925E7EB3}" destId="{F5136324-F11A-45E5-9C87-B5F1CB0E5D30}" srcOrd="1" destOrd="0" parTransId="{AD19FD29-19A1-4CCE-81D0-38DBDF2117D4}" sibTransId="{57269F97-39C0-45C6-A043-9EAF1C8CE23B}"/>
    <dgm:cxn modelId="{6A1CA2D9-C722-4E7F-93DF-28C388E5FC21}" type="presOf" srcId="{4BD80D35-1A02-429E-A06C-DB9483002A96}" destId="{14217158-7741-4040-A070-B38A0A62D126}" srcOrd="0" destOrd="0" presId="urn:microsoft.com/office/officeart/2005/8/layout/radial4"/>
    <dgm:cxn modelId="{789D34DE-AD65-4A52-AB43-363E22CA9886}" type="presOf" srcId="{F5136324-F11A-45E5-9C87-B5F1CB0E5D30}" destId="{A47608C3-F2D8-4C04-8FF8-F3F4221FC14E}" srcOrd="0" destOrd="0" presId="urn:microsoft.com/office/officeart/2005/8/layout/radial4"/>
    <dgm:cxn modelId="{134BF463-7F81-450F-A8C5-BDD6F4E8A643}" type="presParOf" srcId="{14217158-7741-4040-A070-B38A0A62D126}" destId="{359E6C8F-BAA7-44F9-AB1B-448F8896A2D3}" srcOrd="0" destOrd="0" presId="urn:microsoft.com/office/officeart/2005/8/layout/radial4"/>
    <dgm:cxn modelId="{066C20E4-FC5C-4050-8DD6-92DF26E51A95}" type="presParOf" srcId="{14217158-7741-4040-A070-B38A0A62D126}" destId="{F3BE9958-690F-4046-A5C4-BBA6DF18E721}" srcOrd="1" destOrd="0" presId="urn:microsoft.com/office/officeart/2005/8/layout/radial4"/>
    <dgm:cxn modelId="{12859C18-3FFF-427D-A4C0-19E5CE70BB8D}" type="presParOf" srcId="{14217158-7741-4040-A070-B38A0A62D126}" destId="{E552DD0C-8298-44F0-97A0-0344A86687A2}" srcOrd="2" destOrd="0" presId="urn:microsoft.com/office/officeart/2005/8/layout/radial4"/>
    <dgm:cxn modelId="{7851B804-67E3-40D1-BF51-F029024CDAF4}" type="presParOf" srcId="{14217158-7741-4040-A070-B38A0A62D126}" destId="{898A0615-A09B-4B2A-BCBB-EC53D5897126}" srcOrd="3" destOrd="0" presId="urn:microsoft.com/office/officeart/2005/8/layout/radial4"/>
    <dgm:cxn modelId="{3222651E-F146-440F-9A80-988A10F69333}" type="presParOf" srcId="{14217158-7741-4040-A070-B38A0A62D126}" destId="{A47608C3-F2D8-4C04-8FF8-F3F4221FC14E}" srcOrd="4"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D80D35-1A02-429E-A06C-DB9483002A96}"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2A2CDA6B-0ACD-46FF-98DD-C338925E7EB3}">
      <dgm:prSet phldrT="[טקסט]"/>
      <dgm:spPr/>
      <dgm:t>
        <a:bodyPr/>
        <a:lstStyle/>
        <a:p>
          <a:pPr rtl="1"/>
          <a:r>
            <a:rPr lang="he-IL">
              <a:latin typeface="David" panose="020E0502060401010101" pitchFamily="34" charset="-79"/>
              <a:cs typeface="David" panose="020E0502060401010101" pitchFamily="34" charset="-79"/>
            </a:rPr>
            <a:t>חברה א'</a:t>
          </a:r>
        </a:p>
      </dgm:t>
    </dgm:pt>
    <dgm:pt modelId="{FD268E14-FD0D-47B6-89FB-C35CF15710A7}" type="parTrans" cxnId="{1EDBFEBD-A9AD-4115-BC9C-BDF831C70EFE}">
      <dgm:prSet/>
      <dgm:spPr/>
      <dgm:t>
        <a:bodyPr/>
        <a:lstStyle/>
        <a:p>
          <a:pPr rtl="1"/>
          <a:endParaRPr lang="he-IL"/>
        </a:p>
      </dgm:t>
    </dgm:pt>
    <dgm:pt modelId="{09AEDDAF-2C81-48BC-B1B2-5F34FBBAD8BA}" type="sibTrans" cxnId="{1EDBFEBD-A9AD-4115-BC9C-BDF831C70EFE}">
      <dgm:prSet/>
      <dgm:spPr/>
      <dgm:t>
        <a:bodyPr/>
        <a:lstStyle/>
        <a:p>
          <a:pPr rtl="1"/>
          <a:endParaRPr lang="he-IL"/>
        </a:p>
      </dgm:t>
    </dgm:pt>
    <dgm:pt modelId="{4C8B6F25-90FA-4486-B974-627F372C10A1}">
      <dgm:prSet phldrT="[טקסט]" custT="1"/>
      <dgm:spPr/>
      <dgm:t>
        <a:bodyPr/>
        <a:lstStyle/>
        <a:p>
          <a:pPr rtl="1"/>
          <a:r>
            <a:rPr lang="he-IL" sz="1800">
              <a:latin typeface="David" panose="020E0502060401010101" pitchFamily="34" charset="-79"/>
              <a:cs typeface="David" panose="020E0502060401010101" pitchFamily="34" charset="-79"/>
            </a:rPr>
            <a:t>ב- 5%</a:t>
          </a:r>
        </a:p>
      </dgm:t>
    </dgm:pt>
    <dgm:pt modelId="{4DC06440-CCCC-44D4-AF7D-7AA11F92B26C}" type="parTrans" cxnId="{3CB6D1EA-331D-463A-83D3-3E8261C0EA27}">
      <dgm:prSet/>
      <dgm:spPr/>
      <dgm:t>
        <a:bodyPr/>
        <a:lstStyle/>
        <a:p>
          <a:pPr rtl="1"/>
          <a:endParaRPr lang="he-IL"/>
        </a:p>
      </dgm:t>
    </dgm:pt>
    <dgm:pt modelId="{5E47ED9F-7C98-4588-B08F-0CE93BB9F0D6}" type="sibTrans" cxnId="{3CB6D1EA-331D-463A-83D3-3E8261C0EA27}">
      <dgm:prSet/>
      <dgm:spPr/>
      <dgm:t>
        <a:bodyPr/>
        <a:lstStyle/>
        <a:p>
          <a:pPr rtl="1"/>
          <a:endParaRPr lang="he-IL"/>
        </a:p>
      </dgm:t>
    </dgm:pt>
    <dgm:pt modelId="{F5136324-F11A-45E5-9C87-B5F1CB0E5D30}">
      <dgm:prSet phldrT="[טקסט]" custT="1"/>
      <dgm:spPr/>
      <dgm:t>
        <a:bodyPr/>
        <a:lstStyle/>
        <a:p>
          <a:pPr rtl="1"/>
          <a:r>
            <a:rPr lang="he-IL" sz="1800">
              <a:latin typeface="David" panose="020E0502060401010101" pitchFamily="34" charset="-79"/>
              <a:cs typeface="David" panose="020E0502060401010101" pitchFamily="34" charset="-79"/>
            </a:rPr>
            <a:t>א- 95%</a:t>
          </a:r>
        </a:p>
      </dgm:t>
    </dgm:pt>
    <dgm:pt modelId="{AD19FD29-19A1-4CCE-81D0-38DBDF2117D4}" type="parTrans" cxnId="{B0D1A3F2-FF98-438B-A26D-F190799CCC85}">
      <dgm:prSet/>
      <dgm:spPr/>
      <dgm:t>
        <a:bodyPr/>
        <a:lstStyle/>
        <a:p>
          <a:pPr rtl="1"/>
          <a:endParaRPr lang="he-IL"/>
        </a:p>
      </dgm:t>
    </dgm:pt>
    <dgm:pt modelId="{57269F97-39C0-45C6-A043-9EAF1C8CE23B}" type="sibTrans" cxnId="{B0D1A3F2-FF98-438B-A26D-F190799CCC85}">
      <dgm:prSet/>
      <dgm:spPr/>
      <dgm:t>
        <a:bodyPr/>
        <a:lstStyle/>
        <a:p>
          <a:pPr rtl="1"/>
          <a:endParaRPr lang="he-IL"/>
        </a:p>
      </dgm:t>
    </dgm:pt>
    <dgm:pt modelId="{14217158-7741-4040-A070-B38A0A62D126}" type="pres">
      <dgm:prSet presAssocID="{4BD80D35-1A02-429E-A06C-DB9483002A96}" presName="cycle" presStyleCnt="0">
        <dgm:presLayoutVars>
          <dgm:chMax val="1"/>
          <dgm:dir/>
          <dgm:animLvl val="ctr"/>
          <dgm:resizeHandles val="exact"/>
        </dgm:presLayoutVars>
      </dgm:prSet>
      <dgm:spPr/>
      <dgm:t>
        <a:bodyPr/>
        <a:lstStyle/>
        <a:p>
          <a:pPr rtl="1"/>
          <a:endParaRPr lang="he-IL"/>
        </a:p>
      </dgm:t>
    </dgm:pt>
    <dgm:pt modelId="{359E6C8F-BAA7-44F9-AB1B-448F8896A2D3}" type="pres">
      <dgm:prSet presAssocID="{2A2CDA6B-0ACD-46FF-98DD-C338925E7EB3}" presName="centerShape" presStyleLbl="node0" presStyleIdx="0" presStyleCnt="1"/>
      <dgm:spPr/>
      <dgm:t>
        <a:bodyPr/>
        <a:lstStyle/>
        <a:p>
          <a:pPr rtl="1"/>
          <a:endParaRPr lang="he-IL"/>
        </a:p>
      </dgm:t>
    </dgm:pt>
    <dgm:pt modelId="{F3BE9958-690F-4046-A5C4-BBA6DF18E721}" type="pres">
      <dgm:prSet presAssocID="{4DC06440-CCCC-44D4-AF7D-7AA11F92B26C}" presName="parTrans" presStyleLbl="bgSibTrans2D1" presStyleIdx="0" presStyleCnt="2"/>
      <dgm:spPr/>
      <dgm:t>
        <a:bodyPr/>
        <a:lstStyle/>
        <a:p>
          <a:pPr rtl="1"/>
          <a:endParaRPr lang="he-IL"/>
        </a:p>
      </dgm:t>
    </dgm:pt>
    <dgm:pt modelId="{E552DD0C-8298-44F0-97A0-0344A86687A2}" type="pres">
      <dgm:prSet presAssocID="{4C8B6F25-90FA-4486-B974-627F372C10A1}" presName="node" presStyleLbl="node1" presStyleIdx="0" presStyleCnt="2">
        <dgm:presLayoutVars>
          <dgm:bulletEnabled val="1"/>
        </dgm:presLayoutVars>
      </dgm:prSet>
      <dgm:spPr/>
      <dgm:t>
        <a:bodyPr/>
        <a:lstStyle/>
        <a:p>
          <a:pPr rtl="1"/>
          <a:endParaRPr lang="he-IL"/>
        </a:p>
      </dgm:t>
    </dgm:pt>
    <dgm:pt modelId="{898A0615-A09B-4B2A-BCBB-EC53D5897126}" type="pres">
      <dgm:prSet presAssocID="{AD19FD29-19A1-4CCE-81D0-38DBDF2117D4}" presName="parTrans" presStyleLbl="bgSibTrans2D1" presStyleIdx="1" presStyleCnt="2"/>
      <dgm:spPr/>
      <dgm:t>
        <a:bodyPr/>
        <a:lstStyle/>
        <a:p>
          <a:pPr rtl="1"/>
          <a:endParaRPr lang="he-IL"/>
        </a:p>
      </dgm:t>
    </dgm:pt>
    <dgm:pt modelId="{A47608C3-F2D8-4C04-8FF8-F3F4221FC14E}" type="pres">
      <dgm:prSet presAssocID="{F5136324-F11A-45E5-9C87-B5F1CB0E5D30}" presName="node" presStyleLbl="node1" presStyleIdx="1" presStyleCnt="2">
        <dgm:presLayoutVars>
          <dgm:bulletEnabled val="1"/>
        </dgm:presLayoutVars>
      </dgm:prSet>
      <dgm:spPr/>
      <dgm:t>
        <a:bodyPr/>
        <a:lstStyle/>
        <a:p>
          <a:pPr rtl="1"/>
          <a:endParaRPr lang="he-IL"/>
        </a:p>
      </dgm:t>
    </dgm:pt>
  </dgm:ptLst>
  <dgm:cxnLst>
    <dgm:cxn modelId="{767D5D55-9E5E-4C4E-8F6A-6EEAFD85A570}" type="presOf" srcId="{2A2CDA6B-0ACD-46FF-98DD-C338925E7EB3}" destId="{359E6C8F-BAA7-44F9-AB1B-448F8896A2D3}" srcOrd="0" destOrd="0" presId="urn:microsoft.com/office/officeart/2005/8/layout/radial4"/>
    <dgm:cxn modelId="{80142C03-1573-4236-B429-36445879240A}" type="presOf" srcId="{F5136324-F11A-45E5-9C87-B5F1CB0E5D30}" destId="{A47608C3-F2D8-4C04-8FF8-F3F4221FC14E}" srcOrd="0" destOrd="0" presId="urn:microsoft.com/office/officeart/2005/8/layout/radial4"/>
    <dgm:cxn modelId="{1EDBFEBD-A9AD-4115-BC9C-BDF831C70EFE}" srcId="{4BD80D35-1A02-429E-A06C-DB9483002A96}" destId="{2A2CDA6B-0ACD-46FF-98DD-C338925E7EB3}" srcOrd="0" destOrd="0" parTransId="{FD268E14-FD0D-47B6-89FB-C35CF15710A7}" sibTransId="{09AEDDAF-2C81-48BC-B1B2-5F34FBBAD8BA}"/>
    <dgm:cxn modelId="{FB9EC199-3BA7-464D-AB4F-91C658C48661}" type="presOf" srcId="{4DC06440-CCCC-44D4-AF7D-7AA11F92B26C}" destId="{F3BE9958-690F-4046-A5C4-BBA6DF18E721}" srcOrd="0" destOrd="0" presId="urn:microsoft.com/office/officeart/2005/8/layout/radial4"/>
    <dgm:cxn modelId="{3CB6D1EA-331D-463A-83D3-3E8261C0EA27}" srcId="{2A2CDA6B-0ACD-46FF-98DD-C338925E7EB3}" destId="{4C8B6F25-90FA-4486-B974-627F372C10A1}" srcOrd="0" destOrd="0" parTransId="{4DC06440-CCCC-44D4-AF7D-7AA11F92B26C}" sibTransId="{5E47ED9F-7C98-4588-B08F-0CE93BB9F0D6}"/>
    <dgm:cxn modelId="{40851D18-BDB7-40E6-8192-0F6FD77FC654}" type="presOf" srcId="{4C8B6F25-90FA-4486-B974-627F372C10A1}" destId="{E552DD0C-8298-44F0-97A0-0344A86687A2}" srcOrd="0" destOrd="0" presId="urn:microsoft.com/office/officeart/2005/8/layout/radial4"/>
    <dgm:cxn modelId="{B0D1A3F2-FF98-438B-A26D-F190799CCC85}" srcId="{2A2CDA6B-0ACD-46FF-98DD-C338925E7EB3}" destId="{F5136324-F11A-45E5-9C87-B5F1CB0E5D30}" srcOrd="1" destOrd="0" parTransId="{AD19FD29-19A1-4CCE-81D0-38DBDF2117D4}" sibTransId="{57269F97-39C0-45C6-A043-9EAF1C8CE23B}"/>
    <dgm:cxn modelId="{7E07CEBA-495A-445A-9D66-0523E9BC6EEC}" type="presOf" srcId="{AD19FD29-19A1-4CCE-81D0-38DBDF2117D4}" destId="{898A0615-A09B-4B2A-BCBB-EC53D5897126}" srcOrd="0" destOrd="0" presId="urn:microsoft.com/office/officeart/2005/8/layout/radial4"/>
    <dgm:cxn modelId="{72D1571F-F1AE-471A-84FB-2F86BADB1950}" type="presOf" srcId="{4BD80D35-1A02-429E-A06C-DB9483002A96}" destId="{14217158-7741-4040-A070-B38A0A62D126}" srcOrd="0" destOrd="0" presId="urn:microsoft.com/office/officeart/2005/8/layout/radial4"/>
    <dgm:cxn modelId="{4E7A6775-7651-4A8D-831F-59257E6E6590}" type="presParOf" srcId="{14217158-7741-4040-A070-B38A0A62D126}" destId="{359E6C8F-BAA7-44F9-AB1B-448F8896A2D3}" srcOrd="0" destOrd="0" presId="urn:microsoft.com/office/officeart/2005/8/layout/radial4"/>
    <dgm:cxn modelId="{F3330A07-2197-4FFF-9E1F-AC7AA6314939}" type="presParOf" srcId="{14217158-7741-4040-A070-B38A0A62D126}" destId="{F3BE9958-690F-4046-A5C4-BBA6DF18E721}" srcOrd="1" destOrd="0" presId="urn:microsoft.com/office/officeart/2005/8/layout/radial4"/>
    <dgm:cxn modelId="{7CCB95FB-41C5-42C9-9A9F-ACCE08E7B045}" type="presParOf" srcId="{14217158-7741-4040-A070-B38A0A62D126}" destId="{E552DD0C-8298-44F0-97A0-0344A86687A2}" srcOrd="2" destOrd="0" presId="urn:microsoft.com/office/officeart/2005/8/layout/radial4"/>
    <dgm:cxn modelId="{1BC85A88-4373-43AB-B5B9-AE67A5EB45B6}" type="presParOf" srcId="{14217158-7741-4040-A070-B38A0A62D126}" destId="{898A0615-A09B-4B2A-BCBB-EC53D5897126}" srcOrd="3" destOrd="0" presId="urn:microsoft.com/office/officeart/2005/8/layout/radial4"/>
    <dgm:cxn modelId="{80FF4E4A-23EE-43F6-AA96-0DBC771265B6}" type="presParOf" srcId="{14217158-7741-4040-A070-B38A0A62D126}" destId="{A47608C3-F2D8-4C04-8FF8-F3F4221FC14E}" srcOrd="4"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E6C8F-BAA7-44F9-AB1B-448F8896A2D3}">
      <dsp:nvSpPr>
        <dsp:cNvPr id="0" name=""/>
        <dsp:cNvSpPr/>
      </dsp:nvSpPr>
      <dsp:spPr>
        <a:xfrm>
          <a:off x="1917067" y="502591"/>
          <a:ext cx="793035" cy="7930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חברה א'</a:t>
          </a:r>
        </a:p>
      </dsp:txBody>
      <dsp:txXfrm>
        <a:off x="2033204" y="618728"/>
        <a:ext cx="560761" cy="560761"/>
      </dsp:txXfrm>
    </dsp:sp>
    <dsp:sp modelId="{F3BE9958-690F-4046-A5C4-BBA6DF18E721}">
      <dsp:nvSpPr>
        <dsp:cNvPr id="0" name=""/>
        <dsp:cNvSpPr/>
      </dsp:nvSpPr>
      <dsp:spPr>
        <a:xfrm rot="12900000">
          <a:off x="1405109" y="363449"/>
          <a:ext cx="609732" cy="226015"/>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52DD0C-8298-44F0-97A0-0344A86687A2}">
      <dsp:nvSpPr>
        <dsp:cNvPr id="0" name=""/>
        <dsp:cNvSpPr/>
      </dsp:nvSpPr>
      <dsp:spPr>
        <a:xfrm>
          <a:off x="1083552" y="239"/>
          <a:ext cx="753383" cy="60270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ב- 60%</a:t>
          </a:r>
        </a:p>
      </dsp:txBody>
      <dsp:txXfrm>
        <a:off x="1101205" y="17892"/>
        <a:ext cx="718077" cy="567401"/>
      </dsp:txXfrm>
    </dsp:sp>
    <dsp:sp modelId="{898A0615-A09B-4B2A-BCBB-EC53D5897126}">
      <dsp:nvSpPr>
        <dsp:cNvPr id="0" name=""/>
        <dsp:cNvSpPr/>
      </dsp:nvSpPr>
      <dsp:spPr>
        <a:xfrm rot="19500000">
          <a:off x="2612328" y="363449"/>
          <a:ext cx="609732" cy="226015"/>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608C3-F2D8-4C04-8FF8-F3F4221FC14E}">
      <dsp:nvSpPr>
        <dsp:cNvPr id="0" name=""/>
        <dsp:cNvSpPr/>
      </dsp:nvSpPr>
      <dsp:spPr>
        <a:xfrm>
          <a:off x="2790234" y="239"/>
          <a:ext cx="753383" cy="602707"/>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א- 40%</a:t>
          </a:r>
        </a:p>
      </dsp:txBody>
      <dsp:txXfrm>
        <a:off x="2807887" y="17892"/>
        <a:ext cx="718077" cy="567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E6C8F-BAA7-44F9-AB1B-448F8896A2D3}">
      <dsp:nvSpPr>
        <dsp:cNvPr id="0" name=""/>
        <dsp:cNvSpPr/>
      </dsp:nvSpPr>
      <dsp:spPr>
        <a:xfrm>
          <a:off x="1832712" y="530361"/>
          <a:ext cx="838396" cy="83839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חברה א'</a:t>
          </a:r>
        </a:p>
      </dsp:txBody>
      <dsp:txXfrm>
        <a:off x="1955492" y="653141"/>
        <a:ext cx="592836" cy="592836"/>
      </dsp:txXfrm>
    </dsp:sp>
    <dsp:sp modelId="{F3BE9958-690F-4046-A5C4-BBA6DF18E721}">
      <dsp:nvSpPr>
        <dsp:cNvPr id="0" name=""/>
        <dsp:cNvSpPr/>
      </dsp:nvSpPr>
      <dsp:spPr>
        <a:xfrm rot="12900000">
          <a:off x="1292669" y="383662"/>
          <a:ext cx="643356" cy="238943"/>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52DD0C-8298-44F0-97A0-0344A86687A2}">
      <dsp:nvSpPr>
        <dsp:cNvPr id="0" name=""/>
        <dsp:cNvSpPr/>
      </dsp:nvSpPr>
      <dsp:spPr>
        <a:xfrm>
          <a:off x="952605" y="36"/>
          <a:ext cx="796476" cy="63718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ב- 5%</a:t>
          </a:r>
        </a:p>
      </dsp:txBody>
      <dsp:txXfrm>
        <a:off x="971267" y="18698"/>
        <a:ext cx="759152" cy="599857"/>
      </dsp:txXfrm>
    </dsp:sp>
    <dsp:sp modelId="{898A0615-A09B-4B2A-BCBB-EC53D5897126}">
      <dsp:nvSpPr>
        <dsp:cNvPr id="0" name=""/>
        <dsp:cNvSpPr/>
      </dsp:nvSpPr>
      <dsp:spPr>
        <a:xfrm rot="19500000">
          <a:off x="2567795" y="383662"/>
          <a:ext cx="643356" cy="238943"/>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608C3-F2D8-4C04-8FF8-F3F4221FC14E}">
      <dsp:nvSpPr>
        <dsp:cNvPr id="0" name=""/>
        <dsp:cNvSpPr/>
      </dsp:nvSpPr>
      <dsp:spPr>
        <a:xfrm>
          <a:off x="2754738" y="36"/>
          <a:ext cx="796476" cy="637181"/>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א- 95%</a:t>
          </a:r>
        </a:p>
      </dsp:txBody>
      <dsp:txXfrm>
        <a:off x="2773400" y="18698"/>
        <a:ext cx="759152" cy="5998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78B2-1E96-4859-882A-A1F6BD06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879</Words>
  <Characters>4398</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9</cp:revision>
  <dcterms:created xsi:type="dcterms:W3CDTF">2014-02-24T14:54:00Z</dcterms:created>
  <dcterms:modified xsi:type="dcterms:W3CDTF">2014-02-27T09:35:00Z</dcterms:modified>
</cp:coreProperties>
</file>