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EA" w:rsidRPr="00307A46" w:rsidRDefault="009C48DE" w:rsidP="009C48DE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307A46">
        <w:rPr>
          <w:rFonts w:cs="David" w:hint="cs"/>
          <w:b/>
          <w:bCs/>
          <w:sz w:val="24"/>
          <w:szCs w:val="24"/>
          <w:u w:val="single"/>
          <w:rtl/>
        </w:rPr>
        <w:t>פיננסית מתקדמת א- שיעור</w:t>
      </w:r>
      <w:r w:rsidR="001E6F73">
        <w:rPr>
          <w:rFonts w:cs="David" w:hint="cs"/>
          <w:b/>
          <w:bCs/>
          <w:sz w:val="24"/>
          <w:szCs w:val="24"/>
          <w:u w:val="single"/>
          <w:rtl/>
        </w:rPr>
        <w:t xml:space="preserve"> 14</w:t>
      </w:r>
    </w:p>
    <w:p w:rsidR="00085B87" w:rsidRPr="00085B87" w:rsidRDefault="00FA427E" w:rsidP="00FA427E">
      <w:pPr>
        <w:spacing w:line="360" w:lineRule="auto"/>
        <w:jc w:val="center"/>
        <w:rPr>
          <w:rFonts w:eastAsiaTheme="minorEastAsia" w:cs="David"/>
          <w:b/>
          <w:bCs/>
          <w:sz w:val="24"/>
          <w:szCs w:val="24"/>
          <w:u w:val="single"/>
          <w:rtl/>
        </w:rPr>
      </w:pPr>
      <w:r>
        <w:rPr>
          <w:rFonts w:eastAsiaTheme="minorEastAsia" w:cs="David" w:hint="cs"/>
          <w:b/>
          <w:bCs/>
          <w:sz w:val="24"/>
          <w:szCs w:val="24"/>
          <w:u w:val="single"/>
          <w:rtl/>
        </w:rPr>
        <w:t>2.8.10</w:t>
      </w:r>
      <w:r w:rsidR="00085B87" w:rsidRPr="00085B87">
        <w:rPr>
          <w:rFonts w:eastAsiaTheme="minorEastAsia" w:cs="David" w:hint="cs"/>
          <w:b/>
          <w:bCs/>
          <w:sz w:val="24"/>
          <w:szCs w:val="24"/>
          <w:u w:val="single"/>
          <w:rtl/>
        </w:rPr>
        <w:t xml:space="preserve"> אג"ח צמודות</w:t>
      </w:r>
    </w:p>
    <w:p w:rsidR="00B55A42" w:rsidRPr="00085B87" w:rsidRDefault="00085B87" w:rsidP="00085B87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w:r w:rsidRPr="00085B87">
        <w:rPr>
          <w:rFonts w:eastAsiaTheme="minorEastAsia" w:cs="David" w:hint="cs"/>
          <w:sz w:val="24"/>
          <w:szCs w:val="24"/>
          <w:rtl/>
        </w:rPr>
        <w:t>אמרנו שכדי שאג"ח להמרה יהיו מכשיר פיננסי מורכב צריך להיות להן גם מרכיב של התחייבות וגם מרכיב של הון</w:t>
      </w:r>
      <w:r>
        <w:rPr>
          <w:rFonts w:eastAsiaTheme="minorEastAsia" w:cs="David" w:hint="cs"/>
          <w:sz w:val="24"/>
          <w:szCs w:val="24"/>
          <w:rtl/>
        </w:rPr>
        <w:t xml:space="preserve">. ברגע </w:t>
      </w:r>
      <w:proofErr w:type="spellStart"/>
      <w:r>
        <w:rPr>
          <w:rFonts w:eastAsiaTheme="minorEastAsia" w:cs="David" w:hint="cs"/>
          <w:sz w:val="24"/>
          <w:szCs w:val="24"/>
          <w:rtl/>
        </w:rPr>
        <w:t>שהאג"ח</w:t>
      </w:r>
      <w:proofErr w:type="spellEnd"/>
      <w:r>
        <w:rPr>
          <w:rFonts w:eastAsiaTheme="minorEastAsia" w:cs="David" w:hint="cs"/>
          <w:sz w:val="24"/>
          <w:szCs w:val="24"/>
          <w:rtl/>
        </w:rPr>
        <w:t xml:space="preserve"> להמרה צמודות </w:t>
      </w:r>
      <w:proofErr w:type="spellStart"/>
      <w:r>
        <w:rPr>
          <w:rFonts w:eastAsiaTheme="minorEastAsia" w:cs="David" w:hint="cs"/>
          <w:sz w:val="24"/>
          <w:szCs w:val="24"/>
          <w:rtl/>
        </w:rPr>
        <w:t>הע.נ</w:t>
      </w:r>
      <w:proofErr w:type="spellEnd"/>
      <w:r>
        <w:rPr>
          <w:rFonts w:eastAsiaTheme="minorEastAsia" w:cs="David" w:hint="cs"/>
          <w:sz w:val="24"/>
          <w:szCs w:val="24"/>
          <w:rtl/>
        </w:rPr>
        <w:t xml:space="preserve"> משתנה ולכן אין מרכיב של הון. במקרה זה </w:t>
      </w:r>
      <w:proofErr w:type="spellStart"/>
      <w:r>
        <w:rPr>
          <w:rFonts w:eastAsiaTheme="minorEastAsia" w:cs="David" w:hint="cs"/>
          <w:sz w:val="24"/>
          <w:szCs w:val="24"/>
          <w:rtl/>
        </w:rPr>
        <w:t>האג"ח</w:t>
      </w:r>
      <w:proofErr w:type="spellEnd"/>
      <w:r>
        <w:rPr>
          <w:rFonts w:eastAsiaTheme="minorEastAsia" w:cs="David" w:hint="cs"/>
          <w:sz w:val="24"/>
          <w:szCs w:val="24"/>
          <w:rtl/>
        </w:rPr>
        <w:t xml:space="preserve"> להמרה </w:t>
      </w:r>
      <w:r w:rsidRPr="00085B87">
        <w:rPr>
          <w:rFonts w:eastAsiaTheme="minorEastAsia" w:cs="David" w:hint="cs"/>
          <w:sz w:val="24"/>
          <w:szCs w:val="24"/>
          <w:rtl/>
        </w:rPr>
        <w:t xml:space="preserve">  </w:t>
      </w:r>
      <w:r>
        <w:rPr>
          <w:rFonts w:eastAsiaTheme="minorEastAsia" w:cs="David" w:hint="cs"/>
          <w:sz w:val="24"/>
          <w:szCs w:val="24"/>
          <w:rtl/>
        </w:rPr>
        <w:t xml:space="preserve">אינה מהווה מכשיר פיננסי מורכב אלא כולה מהווה התחייבות פיננסית . </w:t>
      </w:r>
      <w:r w:rsidRPr="00085B87">
        <w:rPr>
          <w:rFonts w:eastAsiaTheme="minorEastAsia" w:cs="David" w:hint="cs"/>
          <w:b/>
          <w:bCs/>
          <w:sz w:val="24"/>
          <w:szCs w:val="24"/>
          <w:rtl/>
        </w:rPr>
        <w:t>כיצד מודדים אותה ?</w:t>
      </w:r>
    </w:p>
    <w:p w:rsidR="00085B87" w:rsidRDefault="00085B87" w:rsidP="00085B87">
      <w:pPr>
        <w:pStyle w:val="a7"/>
        <w:numPr>
          <w:ilvl w:val="0"/>
          <w:numId w:val="38"/>
        </w:numPr>
        <w:spacing w:line="360" w:lineRule="auto"/>
        <w:rPr>
          <w:rFonts w:eastAsiaTheme="minorEastAsia" w:cs="David"/>
          <w:b/>
          <w:bCs/>
          <w:sz w:val="24"/>
          <w:szCs w:val="24"/>
        </w:rPr>
      </w:pPr>
      <w:proofErr w:type="spellStart"/>
      <w:r>
        <w:rPr>
          <w:rFonts w:eastAsiaTheme="minorEastAsia" w:cs="David" w:hint="cs"/>
          <w:b/>
          <w:bCs/>
          <w:sz w:val="24"/>
          <w:szCs w:val="24"/>
          <w:rtl/>
        </w:rPr>
        <w:t>שוו"ה</w:t>
      </w:r>
      <w:proofErr w:type="spellEnd"/>
      <w:r>
        <w:rPr>
          <w:rFonts w:eastAsiaTheme="minorEastAsia" w:cs="David" w:hint="cs"/>
          <w:b/>
          <w:bCs/>
          <w:sz w:val="24"/>
          <w:szCs w:val="24"/>
          <w:rtl/>
        </w:rPr>
        <w:t xml:space="preserve"> דרך </w:t>
      </w:r>
      <w:proofErr w:type="spellStart"/>
      <w:r>
        <w:rPr>
          <w:rFonts w:eastAsiaTheme="minorEastAsia" w:cs="David" w:hint="cs"/>
          <w:b/>
          <w:bCs/>
          <w:sz w:val="24"/>
          <w:szCs w:val="24"/>
          <w:rtl/>
        </w:rPr>
        <w:t>רוה"ס</w:t>
      </w:r>
      <w:proofErr w:type="spellEnd"/>
    </w:p>
    <w:p w:rsidR="00085B87" w:rsidRDefault="00085B87" w:rsidP="00085B87">
      <w:pPr>
        <w:pStyle w:val="a7"/>
        <w:numPr>
          <w:ilvl w:val="0"/>
          <w:numId w:val="38"/>
        </w:numPr>
        <w:spacing w:line="360" w:lineRule="auto"/>
        <w:rPr>
          <w:rFonts w:eastAsiaTheme="minorEastAsia" w:cs="David"/>
          <w:b/>
          <w:bCs/>
          <w:sz w:val="24"/>
          <w:szCs w:val="24"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נגזר משובץ </w:t>
      </w:r>
    </w:p>
    <w:p w:rsidR="00085B87" w:rsidRDefault="00085B87" w:rsidP="00085B87">
      <w:pPr>
        <w:spacing w:line="360" w:lineRule="auto"/>
        <w:rPr>
          <w:rFonts w:eastAsiaTheme="minorEastAsia" w:cs="David"/>
          <w:sz w:val="24"/>
          <w:szCs w:val="24"/>
          <w:rtl/>
        </w:rPr>
      </w:pPr>
      <w:r w:rsidRPr="00085B87">
        <w:rPr>
          <w:rFonts w:eastAsiaTheme="minorEastAsia" w:cs="David" w:hint="cs"/>
          <w:sz w:val="24"/>
          <w:szCs w:val="24"/>
          <w:rtl/>
        </w:rPr>
        <w:t xml:space="preserve">דהיינו </w:t>
      </w:r>
      <w:proofErr w:type="spellStart"/>
      <w:r w:rsidRPr="00085B87">
        <w:rPr>
          <w:rFonts w:eastAsiaTheme="minorEastAsia" w:cs="David" w:hint="cs"/>
          <w:sz w:val="24"/>
          <w:szCs w:val="24"/>
          <w:rtl/>
        </w:rPr>
        <w:t>מפרידית</w:t>
      </w:r>
      <w:proofErr w:type="spellEnd"/>
      <w:r w:rsidRPr="00085B87">
        <w:rPr>
          <w:rFonts w:eastAsiaTheme="minorEastAsia" w:cs="David" w:hint="cs"/>
          <w:sz w:val="24"/>
          <w:szCs w:val="24"/>
          <w:rtl/>
        </w:rPr>
        <w:t xml:space="preserve"> להתחייבות בגין אופציה המנוהלת בשוו"ה דרך </w:t>
      </w:r>
      <w:proofErr w:type="spellStart"/>
      <w:r w:rsidRPr="00085B87">
        <w:rPr>
          <w:rFonts w:eastAsiaTheme="minorEastAsia" w:cs="David" w:hint="cs"/>
          <w:sz w:val="24"/>
          <w:szCs w:val="24"/>
          <w:rtl/>
        </w:rPr>
        <w:t>רוה"ס</w:t>
      </w:r>
      <w:proofErr w:type="spellEnd"/>
      <w:r w:rsidRPr="00085B87">
        <w:rPr>
          <w:rFonts w:eastAsiaTheme="minorEastAsia" w:cs="David" w:hint="cs"/>
          <w:sz w:val="24"/>
          <w:szCs w:val="24"/>
          <w:rtl/>
        </w:rPr>
        <w:t xml:space="preserve"> ואג"ח לשלם המנוהלת בשיטת העלות המופחתת . </w:t>
      </w:r>
    </w:p>
    <w:p w:rsidR="00085B87" w:rsidRDefault="00085B87" w:rsidP="00085B87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דגש: נמדוד קודם כל את האופציה , וכשארית נקבל את </w:t>
      </w:r>
      <w:proofErr w:type="spellStart"/>
      <w:r>
        <w:rPr>
          <w:rFonts w:eastAsiaTheme="minorEastAsia" w:cs="David" w:hint="cs"/>
          <w:b/>
          <w:bCs/>
          <w:sz w:val="24"/>
          <w:szCs w:val="24"/>
          <w:rtl/>
        </w:rPr>
        <w:t>האג"ח</w:t>
      </w:r>
      <w:proofErr w:type="spellEnd"/>
      <w:r>
        <w:rPr>
          <w:rFonts w:eastAsiaTheme="minorEastAsia" w:cs="David" w:hint="cs"/>
          <w:b/>
          <w:bCs/>
          <w:sz w:val="24"/>
          <w:szCs w:val="24"/>
          <w:rtl/>
        </w:rPr>
        <w:t xml:space="preserve"> לשלם כיוון שהאופציה היא בשוו"ה דרך </w:t>
      </w:r>
      <w:proofErr w:type="spellStart"/>
      <w:r>
        <w:rPr>
          <w:rFonts w:eastAsiaTheme="minorEastAsia" w:cs="David" w:hint="cs"/>
          <w:b/>
          <w:bCs/>
          <w:sz w:val="24"/>
          <w:szCs w:val="24"/>
          <w:rtl/>
        </w:rPr>
        <w:t>רוה"ס</w:t>
      </w:r>
      <w:proofErr w:type="spellEnd"/>
      <w:r>
        <w:rPr>
          <w:rFonts w:eastAsiaTheme="minorEastAsia" w:cs="David" w:hint="cs"/>
          <w:b/>
          <w:bCs/>
          <w:sz w:val="24"/>
          <w:szCs w:val="24"/>
          <w:rtl/>
        </w:rPr>
        <w:t xml:space="preserve"> .</w:t>
      </w:r>
    </w:p>
    <w:p w:rsidR="00085B87" w:rsidRDefault="001E6F73" w:rsidP="00085B87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דוגמא :</w:t>
      </w:r>
    </w:p>
    <w:p w:rsidR="001E6F73" w:rsidRDefault="001E6F73" w:rsidP="00085B87">
      <w:pPr>
        <w:spacing w:line="360" w:lineRule="auto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 xml:space="preserve">ב-01/14 הנפיקה הישות 100,000 ע.נ אג"ח להמרה 5 שנים , 10% ריבית צמודות מדד </w:t>
      </w:r>
    </w:p>
    <w:p w:rsidR="001E6F73" w:rsidRDefault="001E6F73" w:rsidP="00085B87">
      <w:pPr>
        <w:spacing w:line="360" w:lineRule="auto"/>
        <w:rPr>
          <w:rFonts w:eastAsiaTheme="minorEastAsia" w:cs="David" w:hint="cs"/>
          <w:sz w:val="24"/>
          <w:szCs w:val="24"/>
          <w:rtl/>
        </w:rPr>
      </w:pPr>
      <w:proofErr w:type="spellStart"/>
      <w:r>
        <w:rPr>
          <w:rFonts w:eastAsiaTheme="minorEastAsia" w:cs="David" w:hint="cs"/>
          <w:sz w:val="24"/>
          <w:szCs w:val="24"/>
          <w:rtl/>
        </w:rPr>
        <w:t>השוו"ה</w:t>
      </w:r>
      <w:proofErr w:type="spellEnd"/>
      <w:r>
        <w:rPr>
          <w:rFonts w:eastAsiaTheme="minorEastAsia" w:cs="David" w:hint="cs"/>
          <w:sz w:val="24"/>
          <w:szCs w:val="24"/>
          <w:rtl/>
        </w:rPr>
        <w:t xml:space="preserve"> של </w:t>
      </w:r>
      <w:proofErr w:type="spellStart"/>
      <w:r>
        <w:rPr>
          <w:rFonts w:eastAsiaTheme="minorEastAsia" w:cs="David" w:hint="cs"/>
          <w:sz w:val="24"/>
          <w:szCs w:val="24"/>
          <w:rtl/>
        </w:rPr>
        <w:t>האג"ח</w:t>
      </w:r>
      <w:proofErr w:type="spellEnd"/>
      <w:r>
        <w:rPr>
          <w:rFonts w:eastAsiaTheme="minorEastAsia" w:cs="David" w:hint="cs"/>
          <w:sz w:val="24"/>
          <w:szCs w:val="24"/>
          <w:rtl/>
        </w:rPr>
        <w:t xml:space="preserve"> ב-01/14 -120,000 </w:t>
      </w:r>
      <w:proofErr w:type="spellStart"/>
      <w:r>
        <w:rPr>
          <w:rFonts w:eastAsiaTheme="minorEastAsia" w:cs="David" w:hint="cs"/>
          <w:sz w:val="24"/>
          <w:szCs w:val="24"/>
          <w:rtl/>
        </w:rPr>
        <w:t>השוו"ה</w:t>
      </w:r>
      <w:proofErr w:type="spellEnd"/>
      <w:r>
        <w:rPr>
          <w:rFonts w:eastAsiaTheme="minorEastAsia" w:cs="David" w:hint="cs"/>
          <w:sz w:val="24"/>
          <w:szCs w:val="24"/>
          <w:rtl/>
        </w:rPr>
        <w:t xml:space="preserve"> של אופציית ההמרה </w:t>
      </w:r>
      <w:r>
        <w:rPr>
          <w:rFonts w:eastAsiaTheme="minorEastAsia" w:cs="David"/>
          <w:sz w:val="24"/>
          <w:szCs w:val="24"/>
          <w:rtl/>
        </w:rPr>
        <w:t>–</w:t>
      </w:r>
      <w:r>
        <w:rPr>
          <w:rFonts w:eastAsiaTheme="minorEastAsia" w:cs="David" w:hint="cs"/>
          <w:sz w:val="24"/>
          <w:szCs w:val="24"/>
          <w:rtl/>
        </w:rPr>
        <w:t xml:space="preserve"> 10,000</w:t>
      </w:r>
    </w:p>
    <w:p w:rsidR="001E6F73" w:rsidRDefault="001E6F73" w:rsidP="00085B87">
      <w:pPr>
        <w:spacing w:line="360" w:lineRule="auto"/>
        <w:rPr>
          <w:rFonts w:eastAsiaTheme="minorEastAsia" w:cs="David" w:hint="cs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 xml:space="preserve">ב-12/14 </w:t>
      </w:r>
      <w:proofErr w:type="spellStart"/>
      <w:r>
        <w:rPr>
          <w:rFonts w:eastAsiaTheme="minorEastAsia" w:cs="David" w:hint="cs"/>
          <w:sz w:val="24"/>
          <w:szCs w:val="24"/>
          <w:rtl/>
        </w:rPr>
        <w:t>השוו"ה</w:t>
      </w:r>
      <w:proofErr w:type="spellEnd"/>
      <w:r>
        <w:rPr>
          <w:rFonts w:eastAsiaTheme="minorEastAsia" w:cs="David" w:hint="cs"/>
          <w:sz w:val="24"/>
          <w:szCs w:val="24"/>
          <w:rtl/>
        </w:rPr>
        <w:t xml:space="preserve"> של </w:t>
      </w:r>
      <w:proofErr w:type="spellStart"/>
      <w:r>
        <w:rPr>
          <w:rFonts w:eastAsiaTheme="minorEastAsia" w:cs="David" w:hint="cs"/>
          <w:sz w:val="24"/>
          <w:szCs w:val="24"/>
          <w:rtl/>
        </w:rPr>
        <w:t>האג"ח</w:t>
      </w:r>
      <w:proofErr w:type="spellEnd"/>
      <w:r>
        <w:rPr>
          <w:rFonts w:eastAsiaTheme="minorEastAsia" w:cs="David" w:hint="cs"/>
          <w:sz w:val="24"/>
          <w:szCs w:val="24"/>
          <w:rtl/>
        </w:rPr>
        <w:t xml:space="preserve"> 124,000 </w:t>
      </w:r>
      <w:proofErr w:type="spellStart"/>
      <w:r>
        <w:rPr>
          <w:rFonts w:eastAsiaTheme="minorEastAsia" w:cs="David" w:hint="cs"/>
          <w:sz w:val="24"/>
          <w:szCs w:val="24"/>
          <w:rtl/>
        </w:rPr>
        <w:t>והשוו"ה</w:t>
      </w:r>
      <w:proofErr w:type="spellEnd"/>
      <w:r>
        <w:rPr>
          <w:rFonts w:eastAsiaTheme="minorEastAsia" w:cs="David" w:hint="cs"/>
          <w:sz w:val="24"/>
          <w:szCs w:val="24"/>
          <w:rtl/>
        </w:rPr>
        <w:t xml:space="preserve"> של אופציית ההמרה 12,000</w:t>
      </w:r>
    </w:p>
    <w:p w:rsidR="001E6F73" w:rsidRDefault="001E6F73" w:rsidP="00085B87">
      <w:pPr>
        <w:spacing w:line="360" w:lineRule="auto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מדדים</w:t>
      </w:r>
    </w:p>
    <w:p w:rsidR="001E6F73" w:rsidRDefault="001E6F73" w:rsidP="00085B87">
      <w:pPr>
        <w:spacing w:line="360" w:lineRule="auto"/>
        <w:rPr>
          <w:rFonts w:eastAsiaTheme="minorEastAsia" w:cs="David" w:hint="cs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 xml:space="preserve">ב-01/14 </w:t>
      </w:r>
      <w:r>
        <w:rPr>
          <w:rFonts w:eastAsiaTheme="minorEastAsia" w:cs="David"/>
          <w:sz w:val="24"/>
          <w:szCs w:val="24"/>
          <w:rtl/>
        </w:rPr>
        <w:t>–</w:t>
      </w:r>
      <w:r>
        <w:rPr>
          <w:rFonts w:eastAsiaTheme="minorEastAsia" w:cs="David" w:hint="cs"/>
          <w:sz w:val="24"/>
          <w:szCs w:val="24"/>
          <w:rtl/>
        </w:rPr>
        <w:t xml:space="preserve"> 100</w:t>
      </w:r>
    </w:p>
    <w:p w:rsidR="001E6F73" w:rsidRDefault="001E6F73" w:rsidP="00085B87">
      <w:pPr>
        <w:spacing w:line="360" w:lineRule="auto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 xml:space="preserve">ב-12/14 </w:t>
      </w:r>
      <w:r>
        <w:rPr>
          <w:rFonts w:eastAsiaTheme="minorEastAsia" w:cs="David"/>
          <w:sz w:val="24"/>
          <w:szCs w:val="24"/>
          <w:rtl/>
        </w:rPr>
        <w:t>–</w:t>
      </w:r>
      <w:r>
        <w:rPr>
          <w:rFonts w:eastAsiaTheme="minorEastAsia" w:cs="David" w:hint="cs"/>
          <w:sz w:val="24"/>
          <w:szCs w:val="24"/>
          <w:rtl/>
        </w:rPr>
        <w:t xml:space="preserve"> 102</w:t>
      </w:r>
    </w:p>
    <w:p w:rsidR="001E6F73" w:rsidRDefault="001E6F73" w:rsidP="00085B87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w:r w:rsidRPr="001E6F73">
        <w:rPr>
          <w:rFonts w:eastAsiaTheme="minorEastAsia" w:cs="David" w:hint="cs"/>
          <w:b/>
          <w:bCs/>
          <w:sz w:val="24"/>
          <w:szCs w:val="24"/>
          <w:rtl/>
        </w:rPr>
        <w:t xml:space="preserve">נדרש : פקודת יומן תחת שתי חלופות המדידה </w:t>
      </w:r>
    </w:p>
    <w:p w:rsidR="001E6F73" w:rsidRDefault="001E6F73" w:rsidP="00085B87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w:proofErr w:type="spellStart"/>
      <w:r>
        <w:rPr>
          <w:rFonts w:eastAsiaTheme="minorEastAsia" w:cs="David" w:hint="cs"/>
          <w:b/>
          <w:bCs/>
          <w:sz w:val="24"/>
          <w:szCs w:val="24"/>
          <w:rtl/>
        </w:rPr>
        <w:t>פיתרון</w:t>
      </w:r>
      <w:proofErr w:type="spellEnd"/>
      <w:r>
        <w:rPr>
          <w:rFonts w:eastAsiaTheme="minorEastAsia" w:cs="David" w:hint="cs"/>
          <w:b/>
          <w:bCs/>
          <w:sz w:val="24"/>
          <w:szCs w:val="24"/>
          <w:rtl/>
        </w:rPr>
        <w:t xml:space="preserve"> :</w:t>
      </w:r>
    </w:p>
    <w:p w:rsidR="001E6F73" w:rsidRDefault="001E6F73" w:rsidP="00085B87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w:proofErr w:type="spellStart"/>
      <w:r>
        <w:rPr>
          <w:rFonts w:eastAsiaTheme="minorEastAsia" w:cs="David" w:hint="cs"/>
          <w:b/>
          <w:bCs/>
          <w:sz w:val="24"/>
          <w:szCs w:val="24"/>
          <w:rtl/>
        </w:rPr>
        <w:t>שוו"ה</w:t>
      </w:r>
      <w:proofErr w:type="spellEnd"/>
      <w:r>
        <w:rPr>
          <w:rFonts w:eastAsiaTheme="minorEastAsia" w:cs="David" w:hint="cs"/>
          <w:b/>
          <w:bCs/>
          <w:sz w:val="24"/>
          <w:szCs w:val="24"/>
          <w:rtl/>
        </w:rPr>
        <w:t xml:space="preserve"> דרך </w:t>
      </w:r>
      <w:proofErr w:type="spellStart"/>
      <w:r>
        <w:rPr>
          <w:rFonts w:eastAsiaTheme="minorEastAsia" w:cs="David" w:hint="cs"/>
          <w:b/>
          <w:bCs/>
          <w:sz w:val="24"/>
          <w:szCs w:val="24"/>
          <w:rtl/>
        </w:rPr>
        <w:t>רוה"ס</w:t>
      </w:r>
      <w:proofErr w:type="spellEnd"/>
      <w:r>
        <w:rPr>
          <w:rFonts w:eastAsiaTheme="minorEastAsia" w:cs="David" w:hint="cs"/>
          <w:b/>
          <w:bCs/>
          <w:sz w:val="24"/>
          <w:szCs w:val="24"/>
          <w:rtl/>
        </w:rPr>
        <w:t xml:space="preserve"> :</w:t>
      </w:r>
    </w:p>
    <w:p w:rsidR="001E6F73" w:rsidRPr="001E6F73" w:rsidRDefault="001E6F73" w:rsidP="00085B87">
      <w:pPr>
        <w:spacing w:line="360" w:lineRule="auto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פקודות יומן:</w:t>
      </w:r>
    </w:p>
    <w:tbl>
      <w:tblPr>
        <w:tblStyle w:val="ab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721"/>
        <w:gridCol w:w="1584"/>
        <w:gridCol w:w="3146"/>
      </w:tblGrid>
      <w:tr w:rsidR="001E6F73" w:rsidTr="001E6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F73" w:rsidRPr="001E6F73" w:rsidRDefault="001E6F73" w:rsidP="001E6F73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1E6F73">
              <w:rPr>
                <w:rFonts w:eastAsiaTheme="minorEastAsia" w:cs="David" w:hint="cs"/>
                <w:sz w:val="24"/>
                <w:szCs w:val="24"/>
                <w:rtl/>
              </w:rPr>
              <w:t>01/14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F73" w:rsidRPr="001E6F73" w:rsidRDefault="001E6F73" w:rsidP="001E6F7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1E6F73">
              <w:rPr>
                <w:rFonts w:eastAsiaTheme="minorEastAsia" w:cs="David" w:hint="cs"/>
                <w:sz w:val="24"/>
                <w:szCs w:val="24"/>
                <w:rtl/>
              </w:rPr>
              <w:t>ח' מזומן</w:t>
            </w:r>
          </w:p>
          <w:p w:rsidR="001E6F73" w:rsidRPr="001E6F73" w:rsidRDefault="001E6F73" w:rsidP="001E6F73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1E6F73">
              <w:rPr>
                <w:rFonts w:eastAsiaTheme="minorEastAsia" w:cs="David" w:hint="cs"/>
                <w:sz w:val="24"/>
                <w:szCs w:val="24"/>
                <w:rtl/>
              </w:rPr>
              <w:t xml:space="preserve">   ז' אג"ח לשלם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F73" w:rsidRPr="001E6F73" w:rsidRDefault="001E6F73" w:rsidP="001E6F73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1E6F73">
              <w:rPr>
                <w:rFonts w:eastAsiaTheme="minorEastAsia" w:cs="David" w:hint="cs"/>
                <w:sz w:val="24"/>
                <w:szCs w:val="24"/>
                <w:rtl/>
              </w:rPr>
              <w:t>120,000</w:t>
            </w:r>
          </w:p>
        </w:tc>
      </w:tr>
      <w:tr w:rsidR="001E6F73" w:rsidTr="001E6F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F73" w:rsidRPr="001E6F73" w:rsidRDefault="001E6F73" w:rsidP="001E6F73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1E6F73">
              <w:rPr>
                <w:rFonts w:eastAsiaTheme="minorEastAsia" w:cs="David" w:hint="cs"/>
                <w:sz w:val="24"/>
                <w:szCs w:val="24"/>
                <w:rtl/>
              </w:rPr>
              <w:t>12/14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F73" w:rsidRPr="001E6F73" w:rsidRDefault="001E6F73" w:rsidP="001E6F73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1E6F73">
              <w:rPr>
                <w:rFonts w:eastAsiaTheme="minorEastAsia" w:cs="David" w:hint="cs"/>
                <w:sz w:val="24"/>
                <w:szCs w:val="24"/>
                <w:rtl/>
              </w:rPr>
              <w:t xml:space="preserve">   ז' אג"ח לשלם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6F73" w:rsidRPr="001E6F73" w:rsidRDefault="001E6F73" w:rsidP="001E6F73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1E6F73">
              <w:rPr>
                <w:rFonts w:eastAsiaTheme="minorEastAsia" w:cs="David" w:hint="cs"/>
                <w:sz w:val="24"/>
                <w:szCs w:val="24"/>
                <w:rtl/>
              </w:rPr>
              <w:t>40,000</w:t>
            </w:r>
          </w:p>
        </w:tc>
      </w:tr>
      <w:tr w:rsidR="001E6F73" w:rsidTr="001E6F7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6F73" w:rsidRPr="001E6F73" w:rsidRDefault="001E6F73" w:rsidP="001E6F73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F73" w:rsidRPr="001E6F73" w:rsidRDefault="001E6F73" w:rsidP="001E6F73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1E6F73">
              <w:rPr>
                <w:rFonts w:eastAsiaTheme="minorEastAsia" w:cs="David" w:hint="cs"/>
                <w:sz w:val="24"/>
                <w:szCs w:val="24"/>
                <w:rtl/>
              </w:rPr>
              <w:t xml:space="preserve">   ז' מזומן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F73" w:rsidRPr="001E6F73" w:rsidRDefault="001E6F73" w:rsidP="001E6F73">
            <w:pPr>
              <w:bidi w:val="0"/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</w:rPr>
                  <m:t>10%*100,000*</m:t>
                </m:r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</w:rPr>
                      <m:t>102</m:t>
                    </m:r>
                  </m:num>
                  <m:den>
                    <m:r>
                      <w:rPr>
                        <w:rFonts w:ascii="Cambria Math" w:eastAsiaTheme="minorEastAsia" w:hAnsi="Cambria Math" w:cs="David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David"/>
                  </w:rPr>
                  <m:t>=10,200</m:t>
                </m:r>
              </m:oMath>
            </m:oMathPara>
          </w:p>
        </w:tc>
      </w:tr>
      <w:tr w:rsidR="001E6F73" w:rsidTr="001E6F7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F73" w:rsidRPr="001E6F73" w:rsidRDefault="001E6F73" w:rsidP="001E6F73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F73" w:rsidRPr="001E6F73" w:rsidRDefault="001E6F73" w:rsidP="001E6F73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1E6F73">
              <w:rPr>
                <w:rFonts w:eastAsiaTheme="minorEastAsia" w:cs="David" w:hint="cs"/>
                <w:sz w:val="24"/>
                <w:szCs w:val="24"/>
                <w:rtl/>
              </w:rPr>
              <w:t xml:space="preserve">ח' הפסד מני"ע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F73" w:rsidRPr="001E6F73" w:rsidRDefault="001E6F73" w:rsidP="001E6F73">
            <w:pPr>
              <w:spacing w:line="360" w:lineRule="auto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 w:rsidRPr="001E6F73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14,200</w:t>
            </w:r>
          </w:p>
        </w:tc>
      </w:tr>
    </w:tbl>
    <w:p w:rsidR="001E6F73" w:rsidRDefault="001E6F73" w:rsidP="00085B87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</w:p>
    <w:p w:rsidR="001E6F73" w:rsidRDefault="001E6F73" w:rsidP="00085B87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</w:p>
    <w:p w:rsidR="001E6F73" w:rsidRDefault="001E6F73" w:rsidP="001E6F73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lastRenderedPageBreak/>
        <w:t>נגזר משובץ</w:t>
      </w:r>
    </w:p>
    <w:p w:rsidR="00D92F74" w:rsidRDefault="00D92F74" w:rsidP="001E6F73">
      <w:pPr>
        <w:spacing w:line="360" w:lineRule="auto"/>
        <w:rPr>
          <w:rFonts w:eastAsiaTheme="minorEastAsia" w:cs="David" w:hint="cs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נבצע פיצול : 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1382"/>
      </w:tblGrid>
      <w:tr w:rsidR="00D92F74" w:rsidTr="00D92F74">
        <w:tc>
          <w:tcPr>
            <w:tcW w:w="0" w:type="auto"/>
            <w:gridSpan w:val="2"/>
            <w:vAlign w:val="center"/>
          </w:tcPr>
          <w:p w:rsidR="00D92F74" w:rsidRDefault="00D92F74" w:rsidP="00D92F74">
            <w:pPr>
              <w:spacing w:line="360" w:lineRule="auto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120,000</w:t>
            </w:r>
          </w:p>
        </w:tc>
      </w:tr>
      <w:tr w:rsidR="00D92F74" w:rsidTr="00D92F74">
        <w:tc>
          <w:tcPr>
            <w:tcW w:w="0" w:type="auto"/>
            <w:vAlign w:val="center"/>
          </w:tcPr>
          <w:p w:rsidR="00D92F74" w:rsidRDefault="00D92F74" w:rsidP="00D92F74">
            <w:pPr>
              <w:spacing w:line="360" w:lineRule="auto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אופציה</w:t>
            </w:r>
          </w:p>
        </w:tc>
        <w:tc>
          <w:tcPr>
            <w:tcW w:w="0" w:type="auto"/>
            <w:vAlign w:val="center"/>
          </w:tcPr>
          <w:p w:rsidR="00D92F74" w:rsidRDefault="00D92F74" w:rsidP="00D92F74">
            <w:pPr>
              <w:spacing w:line="360" w:lineRule="auto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אג"ח לשלם</w:t>
            </w:r>
          </w:p>
        </w:tc>
      </w:tr>
      <w:tr w:rsidR="00D92F74" w:rsidTr="00D92F74">
        <w:tc>
          <w:tcPr>
            <w:tcW w:w="0" w:type="auto"/>
            <w:vAlign w:val="center"/>
          </w:tcPr>
          <w:p w:rsidR="00D92F74" w:rsidRPr="00D92F74" w:rsidRDefault="00D92F74" w:rsidP="00D92F74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10,000</w:t>
            </w:r>
          </w:p>
        </w:tc>
        <w:tc>
          <w:tcPr>
            <w:tcW w:w="0" w:type="auto"/>
            <w:vAlign w:val="center"/>
          </w:tcPr>
          <w:p w:rsidR="00D92F74" w:rsidRPr="00D92F74" w:rsidRDefault="00D92F74" w:rsidP="00D92F74">
            <w:pPr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w:proofErr w:type="spellStart"/>
            <w:r>
              <w:rPr>
                <w:rFonts w:eastAsiaTheme="minorEastAsia" w:cs="David"/>
                <w:b/>
                <w:bCs/>
                <w:sz w:val="24"/>
                <w:szCs w:val="24"/>
              </w:rPr>
              <w:t>p.n</w:t>
            </w:r>
            <w:proofErr w:type="spellEnd"/>
            <w:r>
              <w:rPr>
                <w:rFonts w:eastAsiaTheme="minorEastAsia" w:cs="David"/>
                <w:sz w:val="24"/>
                <w:szCs w:val="24"/>
              </w:rPr>
              <w:t xml:space="preserve"> 110,000</w:t>
            </w:r>
          </w:p>
        </w:tc>
      </w:tr>
    </w:tbl>
    <w:p w:rsidR="001E6F73" w:rsidRPr="001E6F73" w:rsidRDefault="001E6F73" w:rsidP="001E6F73">
      <w:pPr>
        <w:spacing w:line="360" w:lineRule="auto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פקודות יומן:</w:t>
      </w:r>
    </w:p>
    <w:tbl>
      <w:tblPr>
        <w:tblStyle w:val="ab"/>
        <w:bidiVisual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2533"/>
        <w:gridCol w:w="914"/>
      </w:tblGrid>
      <w:tr w:rsidR="001E6F73" w:rsidTr="004714A4">
        <w:tc>
          <w:tcPr>
            <w:tcW w:w="0" w:type="auto"/>
            <w:vAlign w:val="center"/>
          </w:tcPr>
          <w:p w:rsidR="001E6F73" w:rsidRPr="001E6F73" w:rsidRDefault="001E6F73" w:rsidP="00D914A8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1E6F73">
              <w:rPr>
                <w:rFonts w:eastAsiaTheme="minorEastAsia" w:cs="David" w:hint="cs"/>
                <w:sz w:val="24"/>
                <w:szCs w:val="24"/>
                <w:rtl/>
              </w:rPr>
              <w:t>01/14</w:t>
            </w:r>
          </w:p>
        </w:tc>
        <w:tc>
          <w:tcPr>
            <w:tcW w:w="0" w:type="auto"/>
            <w:vAlign w:val="center"/>
          </w:tcPr>
          <w:p w:rsidR="001E6F73" w:rsidRDefault="001E6F73" w:rsidP="00D914A8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1E6F73">
              <w:rPr>
                <w:rFonts w:eastAsiaTheme="minorEastAsia" w:cs="David" w:hint="cs"/>
                <w:sz w:val="24"/>
                <w:szCs w:val="24"/>
                <w:rtl/>
              </w:rPr>
              <w:t>ח' מזומן</w:t>
            </w:r>
          </w:p>
          <w:p w:rsidR="00D92F74" w:rsidRPr="001E6F73" w:rsidRDefault="00D92F74" w:rsidP="00D914A8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  ז' התחייבות בגין אופציה</w:t>
            </w:r>
          </w:p>
          <w:p w:rsidR="001E6F73" w:rsidRPr="001E6F73" w:rsidRDefault="001E6F73" w:rsidP="00D914A8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1E6F73">
              <w:rPr>
                <w:rFonts w:eastAsiaTheme="minorEastAsia" w:cs="David" w:hint="cs"/>
                <w:sz w:val="24"/>
                <w:szCs w:val="24"/>
                <w:rtl/>
              </w:rPr>
              <w:t xml:space="preserve">   ז' אג"ח לשלם</w:t>
            </w:r>
          </w:p>
        </w:tc>
        <w:tc>
          <w:tcPr>
            <w:tcW w:w="0" w:type="auto"/>
            <w:vAlign w:val="center"/>
          </w:tcPr>
          <w:p w:rsidR="001E6F73" w:rsidRDefault="001E6F73" w:rsidP="00D914A8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1E6F73">
              <w:rPr>
                <w:rFonts w:eastAsiaTheme="minorEastAsia" w:cs="David" w:hint="cs"/>
                <w:sz w:val="24"/>
                <w:szCs w:val="24"/>
                <w:rtl/>
              </w:rPr>
              <w:t>120,000</w:t>
            </w:r>
          </w:p>
          <w:p w:rsidR="004714A4" w:rsidRDefault="004714A4" w:rsidP="00D914A8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10,000</w:t>
            </w:r>
          </w:p>
          <w:p w:rsidR="004714A4" w:rsidRPr="001E6F73" w:rsidRDefault="004714A4" w:rsidP="00D914A8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110,000</w:t>
            </w:r>
          </w:p>
        </w:tc>
      </w:tr>
    </w:tbl>
    <w:p w:rsidR="001E6F73" w:rsidRDefault="00D92F74" w:rsidP="00085B87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אופציית ההמרה נמדדת בשוו"ה דרך </w:t>
      </w:r>
      <w:proofErr w:type="spellStart"/>
      <w:r>
        <w:rPr>
          <w:rFonts w:eastAsiaTheme="minorEastAsia" w:cs="David" w:hint="cs"/>
          <w:b/>
          <w:bCs/>
          <w:sz w:val="24"/>
          <w:szCs w:val="24"/>
          <w:rtl/>
        </w:rPr>
        <w:t>רוה"ס</w:t>
      </w:r>
      <w:proofErr w:type="spellEnd"/>
      <w:r>
        <w:rPr>
          <w:rFonts w:eastAsiaTheme="minorEastAsia" w:cs="David" w:hint="cs"/>
          <w:b/>
          <w:bCs/>
          <w:sz w:val="24"/>
          <w:szCs w:val="24"/>
          <w:rtl/>
        </w:rPr>
        <w:t xml:space="preserve"> ולכן :</w:t>
      </w:r>
    </w:p>
    <w:tbl>
      <w:tblPr>
        <w:tblStyle w:val="ab"/>
        <w:bidiVisual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70"/>
        <w:gridCol w:w="708"/>
      </w:tblGrid>
      <w:tr w:rsidR="00D92F74" w:rsidRPr="001E6F73" w:rsidTr="007B4F5C">
        <w:tc>
          <w:tcPr>
            <w:tcW w:w="236" w:type="dxa"/>
            <w:vAlign w:val="center"/>
          </w:tcPr>
          <w:p w:rsidR="00D92F74" w:rsidRPr="001E6F73" w:rsidRDefault="00D92F74" w:rsidP="00D914A8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bookmarkStart w:id="0" w:name="_GoBack"/>
          </w:p>
        </w:tc>
        <w:tc>
          <w:tcPr>
            <w:tcW w:w="3170" w:type="dxa"/>
            <w:vAlign w:val="center"/>
          </w:tcPr>
          <w:p w:rsidR="00D92F74" w:rsidRDefault="00D92F74" w:rsidP="00D914A8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1E6F73">
              <w:rPr>
                <w:rFonts w:eastAsiaTheme="minorEastAsia" w:cs="David" w:hint="cs"/>
                <w:sz w:val="24"/>
                <w:szCs w:val="24"/>
                <w:rtl/>
              </w:rPr>
              <w:t xml:space="preserve">ח' הפסד מני"ע </w:t>
            </w:r>
          </w:p>
          <w:p w:rsidR="00D92F74" w:rsidRPr="001E6F73" w:rsidRDefault="00D92F74" w:rsidP="00D914A8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  ז' התחייבות בגין אופציית המרה  </w:t>
            </w:r>
          </w:p>
        </w:tc>
        <w:tc>
          <w:tcPr>
            <w:tcW w:w="0" w:type="auto"/>
            <w:vAlign w:val="center"/>
          </w:tcPr>
          <w:p w:rsidR="00D92F74" w:rsidRPr="001E6F73" w:rsidRDefault="00D92F74" w:rsidP="00D914A8">
            <w:pPr>
              <w:spacing w:line="360" w:lineRule="auto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 w:rsidRPr="001E6F73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2</w:t>
            </w:r>
            <w:r w:rsidR="004714A4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,0</w:t>
            </w:r>
            <w:r w:rsidRPr="001E6F73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00</w:t>
            </w:r>
          </w:p>
        </w:tc>
      </w:tr>
    </w:tbl>
    <w:bookmarkEnd w:id="0"/>
    <w:p w:rsidR="00D92F74" w:rsidRPr="004714A4" w:rsidRDefault="004714A4" w:rsidP="00085B87">
      <w:pPr>
        <w:spacing w:line="360" w:lineRule="auto"/>
        <w:rPr>
          <w:rFonts w:eastAsiaTheme="minorEastAsia" w:cs="David"/>
          <w:sz w:val="24"/>
          <w:szCs w:val="24"/>
          <w:rtl/>
        </w:rPr>
      </w:pPr>
      <w:proofErr w:type="spellStart"/>
      <w:r w:rsidRPr="004714A4">
        <w:rPr>
          <w:rFonts w:eastAsiaTheme="minorEastAsia" w:cs="David" w:hint="cs"/>
          <w:sz w:val="24"/>
          <w:szCs w:val="24"/>
          <w:rtl/>
        </w:rPr>
        <w:t>האג"ח</w:t>
      </w:r>
      <w:proofErr w:type="spellEnd"/>
      <w:r w:rsidRPr="004714A4">
        <w:rPr>
          <w:rFonts w:eastAsiaTheme="minorEastAsia" w:cs="David" w:hint="cs"/>
          <w:sz w:val="24"/>
          <w:szCs w:val="24"/>
          <w:rtl/>
        </w:rPr>
        <w:t xml:space="preserve"> לשלם מחושב בשיטת העלות המופחתת כלומר עלינו ראשית לחשב ריבית אפקטיבית :</w:t>
      </w:r>
    </w:p>
    <w:p w:rsidR="004714A4" w:rsidRDefault="004714A4" w:rsidP="004714A4">
      <w:pPr>
        <w:spacing w:line="360" w:lineRule="auto"/>
        <w:rPr>
          <w:rFonts w:eastAsiaTheme="minorEastAsia" w:cs="David"/>
          <w:sz w:val="24"/>
          <w:szCs w:val="24"/>
          <w:rtl/>
        </w:rPr>
      </w:pPr>
      <w:r w:rsidRPr="004714A4">
        <w:rPr>
          <w:rFonts w:eastAsiaTheme="minorEastAsia" w:cs="David" w:hint="cs"/>
          <w:sz w:val="24"/>
          <w:szCs w:val="24"/>
          <w:rtl/>
        </w:rPr>
        <w:t xml:space="preserve">חישוב :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n=5;pv=-110k;pmt=10k;fv=100k→i=7.53%</m:t>
        </m:r>
      </m:oMath>
    </w:p>
    <w:p w:rsidR="004714A4" w:rsidRDefault="004714A4" w:rsidP="004714A4">
      <w:pPr>
        <w:spacing w:line="360" w:lineRule="auto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תנועה באג"ח לשלם: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2668"/>
      </w:tblGrid>
      <w:tr w:rsidR="004714A4" w:rsidTr="004714A4">
        <w:tc>
          <w:tcPr>
            <w:tcW w:w="0" w:type="auto"/>
            <w:vAlign w:val="center"/>
          </w:tcPr>
          <w:p w:rsidR="004714A4" w:rsidRDefault="004714A4" w:rsidP="004714A4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01/14 הנפקה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14A4" w:rsidRDefault="004714A4" w:rsidP="004714A4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(110,000)</w:t>
            </w:r>
          </w:p>
        </w:tc>
      </w:tr>
      <w:tr w:rsidR="004714A4" w:rsidTr="004714A4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714A4" w:rsidRDefault="004714A4" w:rsidP="004714A4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הוצאות מימון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A4" w:rsidRDefault="004714A4" w:rsidP="004714A4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proofErr w:type="spellStart"/>
            <w:r>
              <w:rPr>
                <w:rFonts w:eastAsiaTheme="minorEastAsia" w:cs="David"/>
                <w:sz w:val="24"/>
                <w:szCs w:val="24"/>
              </w:rPr>
              <w:t>p.n</w:t>
            </w:r>
            <w:proofErr w:type="spellEnd"/>
            <w:r>
              <w:rPr>
                <w:rFonts w:eastAsiaTheme="minorEastAsia" w:cs="David"/>
                <w:sz w:val="24"/>
                <w:szCs w:val="24"/>
              </w:rPr>
              <w:t xml:space="preserve"> (10,645)</w:t>
            </w:r>
          </w:p>
        </w:tc>
      </w:tr>
      <w:tr w:rsidR="004714A4" w:rsidTr="004714A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14A4" w:rsidRDefault="004714A4" w:rsidP="004714A4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תשלום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A4" w:rsidRDefault="004714A4" w:rsidP="004714A4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10,200</w:t>
            </w:r>
          </w:p>
        </w:tc>
      </w:tr>
      <w:tr w:rsidR="004714A4" w:rsidTr="004714A4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714A4" w:rsidRDefault="004714A4" w:rsidP="004714A4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12/14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714A4" w:rsidRPr="004714A4" w:rsidRDefault="004714A4" w:rsidP="004714A4">
            <w:pPr>
              <w:bidi w:val="0"/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bal1*</m:t>
                </m:r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102</m:t>
                    </m:r>
                  </m:num>
                  <m:den>
                    <m:r>
                      <w:rPr>
                        <w:rFonts w:ascii="Cambria Math" w:eastAsiaTheme="minorEastAsia" w:hAnsi="Cambria Math" w:cs="David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=(110,445</m:t>
                </m:r>
                <m:r>
                  <w:rPr>
                    <w:rFonts w:ascii="Cambria Math" w:eastAsiaTheme="minorEastAsia" w:hAnsi="Cambria Math" w:cs="David"/>
                    <w:sz w:val="24"/>
                    <w:szCs w:val="24"/>
                  </w:rPr>
                  <m:t>)</m:t>
                </m:r>
              </m:oMath>
            </m:oMathPara>
          </w:p>
        </w:tc>
      </w:tr>
    </w:tbl>
    <w:p w:rsidR="004714A4" w:rsidRDefault="004714A4" w:rsidP="004714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4714A4" w:rsidRDefault="004714A4" w:rsidP="004714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4714A4" w:rsidRDefault="004714A4" w:rsidP="004714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4714A4" w:rsidRDefault="004714A4" w:rsidP="004714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4714A4" w:rsidRDefault="004714A4" w:rsidP="004714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4714A4" w:rsidRDefault="004714A4" w:rsidP="004714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4714A4" w:rsidRDefault="004714A4" w:rsidP="004714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4714A4" w:rsidRDefault="004714A4" w:rsidP="004714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6C2774" w:rsidRDefault="006C2774" w:rsidP="004714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4714A4" w:rsidRDefault="004714A4" w:rsidP="004714A4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4714A4" w:rsidRDefault="004714A4" w:rsidP="004714A4">
      <w:pPr>
        <w:spacing w:line="360" w:lineRule="auto"/>
        <w:jc w:val="center"/>
        <w:rPr>
          <w:rFonts w:eastAsiaTheme="minorEastAsia" w:cs="David"/>
          <w:b/>
          <w:bCs/>
          <w:sz w:val="24"/>
          <w:szCs w:val="24"/>
          <w:u w:val="single"/>
          <w:rtl/>
        </w:rPr>
      </w:pPr>
      <w:r>
        <w:rPr>
          <w:rFonts w:eastAsiaTheme="minorEastAsia" w:cs="David" w:hint="cs"/>
          <w:b/>
          <w:bCs/>
          <w:sz w:val="24"/>
          <w:szCs w:val="24"/>
          <w:u w:val="single"/>
          <w:rtl/>
        </w:rPr>
        <w:lastRenderedPageBreak/>
        <w:t>2.9</w:t>
      </w:r>
      <w:r w:rsidRPr="004714A4">
        <w:rPr>
          <w:rFonts w:eastAsiaTheme="minorEastAsia" w:cs="David" w:hint="cs"/>
          <w:b/>
          <w:bCs/>
          <w:sz w:val="24"/>
          <w:szCs w:val="24"/>
          <w:u w:val="single"/>
          <w:rtl/>
        </w:rPr>
        <w:t xml:space="preserve"> הנפקת חבילה</w:t>
      </w:r>
    </w:p>
    <w:p w:rsidR="00521DDF" w:rsidRDefault="00D35903" w:rsidP="00521DDF">
      <w:pPr>
        <w:spacing w:line="360" w:lineRule="auto"/>
        <w:jc w:val="both"/>
        <w:rPr>
          <w:rFonts w:eastAsiaTheme="minorEastAsia" w:cs="David" w:hint="cs"/>
          <w:b/>
          <w:bCs/>
          <w:sz w:val="24"/>
          <w:szCs w:val="24"/>
          <w:u w:val="single"/>
          <w:rtl/>
        </w:rPr>
      </w:pPr>
      <w:r>
        <w:rPr>
          <w:rFonts w:eastAsiaTheme="minorEastAsia" w:cs="David" w:hint="cs"/>
          <w:b/>
          <w:bCs/>
          <w:sz w:val="24"/>
          <w:szCs w:val="24"/>
          <w:u w:val="single"/>
          <w:rtl/>
        </w:rPr>
        <w:t xml:space="preserve">2.9.1 כללי </w:t>
      </w:r>
    </w:p>
    <w:p w:rsidR="00521DDF" w:rsidRDefault="00521DDF" w:rsidP="00521DDF">
      <w:pPr>
        <w:spacing w:line="360" w:lineRule="auto"/>
        <w:jc w:val="both"/>
        <w:rPr>
          <w:rFonts w:eastAsiaTheme="minorEastAsia" w:cs="David" w:hint="cs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 xml:space="preserve">אנו עוסקים כעת במצב בו </w:t>
      </w:r>
      <w:r w:rsidR="00591049">
        <w:rPr>
          <w:rFonts w:eastAsiaTheme="minorEastAsia" w:cs="David" w:hint="cs"/>
          <w:sz w:val="24"/>
          <w:szCs w:val="24"/>
          <w:rtl/>
        </w:rPr>
        <w:t>ישות מנפיקה חבילה של סוגים שונים של ני"ע כאשר המשקיע רוכש את החבילה כולה , כלומר, הוא משלם עבור כל נירות הערך .</w:t>
      </w:r>
    </w:p>
    <w:p w:rsidR="00591049" w:rsidRDefault="00591049" w:rsidP="00521DDF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 xml:space="preserve">הסוגיה העולה היא כיצד לפצל את התמורה בין המרכיבים השונים . לסוגיה זו יש השלכות קריטיות, שכן, בד"כ החבילה כוללת גם התחייבות וגם הון והקצאה לא נכונה תביא למדידה לא נכונה , של ההתחייבויות מול ההון. </w:t>
      </w:r>
    </w:p>
    <w:p w:rsidR="00591049" w:rsidRDefault="00591049" w:rsidP="009F6B8B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 xml:space="preserve">יש לשים לב שאם נסתכל על תשקיף ההנפקה , נראה כבר בתשקיף הקצאה של התמורה לניירות הערך. כך למשל: בשוק הישראלי נפוצות הנפקות של חבילה הכוללת מניות ואופציות </w:t>
      </w:r>
      <w:r w:rsidR="009F6B8B">
        <w:rPr>
          <w:rFonts w:eastAsiaTheme="minorEastAsia" w:cs="David" w:hint="cs"/>
          <w:sz w:val="24"/>
          <w:szCs w:val="24"/>
          <w:rtl/>
        </w:rPr>
        <w:t xml:space="preserve">וברוב המקרים , בתשקיף מופיע שכל התמורה מיוחסת למניה . </w:t>
      </w:r>
    </w:p>
    <w:p w:rsidR="009F6B8B" w:rsidRDefault="009F6B8B" w:rsidP="009F6B8B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אנחנו (החשבונאות) , כמובן לא מתייחסים להקצאות אותן עושות הישויות, ו-</w:t>
      </w:r>
      <w:r>
        <w:rPr>
          <w:rFonts w:eastAsiaTheme="minorEastAsia" w:cs="David" w:hint="cs"/>
          <w:sz w:val="24"/>
          <w:szCs w:val="24"/>
        </w:rPr>
        <w:t>IAS39</w:t>
      </w:r>
      <w:r>
        <w:rPr>
          <w:rFonts w:eastAsiaTheme="minorEastAsia" w:cs="David" w:hint="cs"/>
          <w:sz w:val="24"/>
          <w:szCs w:val="24"/>
          <w:rtl/>
        </w:rPr>
        <w:t xml:space="preserve"> מציג בפנינו כללים להקצאה. </w:t>
      </w:r>
    </w:p>
    <w:p w:rsidR="009F6B8B" w:rsidRDefault="009F6B8B" w:rsidP="009F6B8B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למעשה הוא מציג שלושה מדרגים של חשיבות :</w:t>
      </w:r>
    </w:p>
    <w:p w:rsidR="006B75D0" w:rsidRPr="006B75D0" w:rsidRDefault="009F6B8B" w:rsidP="006B75D0">
      <w:pPr>
        <w:pStyle w:val="a7"/>
        <w:numPr>
          <w:ilvl w:val="0"/>
          <w:numId w:val="39"/>
        </w:numPr>
        <w:spacing w:line="360" w:lineRule="auto"/>
        <w:jc w:val="both"/>
        <w:rPr>
          <w:rFonts w:eastAsiaTheme="minorEastAsia" w:cs="David"/>
          <w:b/>
          <w:bCs/>
          <w:sz w:val="24"/>
          <w:szCs w:val="24"/>
        </w:rPr>
      </w:pPr>
      <w:r w:rsidRPr="009F6B8B">
        <w:rPr>
          <w:rFonts w:eastAsiaTheme="minorEastAsia" w:cs="David" w:hint="cs"/>
          <w:b/>
          <w:bCs/>
          <w:sz w:val="24"/>
          <w:szCs w:val="24"/>
          <w:rtl/>
        </w:rPr>
        <w:t xml:space="preserve">התחייבות בשוו"ה דרך </w:t>
      </w:r>
      <w:proofErr w:type="spellStart"/>
      <w:r w:rsidRPr="009F6B8B">
        <w:rPr>
          <w:rFonts w:eastAsiaTheme="minorEastAsia" w:cs="David" w:hint="cs"/>
          <w:b/>
          <w:bCs/>
          <w:sz w:val="24"/>
          <w:szCs w:val="24"/>
          <w:rtl/>
        </w:rPr>
        <w:t>רוה"ס</w:t>
      </w:r>
      <w:proofErr w:type="spellEnd"/>
      <w:r w:rsidRPr="009F6B8B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  <w:r w:rsidR="006B75D0">
        <w:rPr>
          <w:rFonts w:eastAsiaTheme="minorEastAsia" w:cs="David"/>
          <w:b/>
          <w:bCs/>
          <w:sz w:val="24"/>
          <w:szCs w:val="24"/>
          <w:rtl/>
        </w:rPr>
        <w:t>–</w:t>
      </w:r>
      <w:r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  <w:r w:rsidR="006B75D0">
        <w:rPr>
          <w:rFonts w:eastAsiaTheme="minorEastAsia" w:cs="David" w:hint="cs"/>
          <w:sz w:val="24"/>
          <w:szCs w:val="24"/>
          <w:rtl/>
        </w:rPr>
        <w:t xml:space="preserve">להתחייבויות כאלה נקצה את </w:t>
      </w:r>
      <w:proofErr w:type="spellStart"/>
      <w:r w:rsidR="006B75D0">
        <w:rPr>
          <w:rFonts w:eastAsiaTheme="minorEastAsia" w:cs="David" w:hint="cs"/>
          <w:sz w:val="24"/>
          <w:szCs w:val="24"/>
          <w:rtl/>
        </w:rPr>
        <w:t>השוו"ה</w:t>
      </w:r>
      <w:proofErr w:type="spellEnd"/>
      <w:r w:rsidR="006B75D0">
        <w:rPr>
          <w:rFonts w:eastAsiaTheme="minorEastAsia" w:cs="David" w:hint="cs"/>
          <w:sz w:val="24"/>
          <w:szCs w:val="24"/>
          <w:rtl/>
        </w:rPr>
        <w:t xml:space="preserve"> . השאלה היא מדוע יש להן עדיפות :</w:t>
      </w:r>
    </w:p>
    <w:p w:rsidR="006B75D0" w:rsidRPr="006B75D0" w:rsidRDefault="006B75D0" w:rsidP="006B75D0">
      <w:pPr>
        <w:pStyle w:val="a7"/>
        <w:numPr>
          <w:ilvl w:val="0"/>
          <w:numId w:val="40"/>
        </w:numPr>
        <w:spacing w:line="360" w:lineRule="auto"/>
        <w:jc w:val="both"/>
        <w:rPr>
          <w:rFonts w:eastAsiaTheme="minorEastAsia" w:cs="David" w:hint="cs"/>
          <w:sz w:val="24"/>
          <w:szCs w:val="24"/>
        </w:rPr>
      </w:pPr>
      <w:r w:rsidRPr="006B75D0">
        <w:rPr>
          <w:rFonts w:eastAsiaTheme="minorEastAsia" w:cs="David" w:hint="cs"/>
          <w:sz w:val="24"/>
          <w:szCs w:val="24"/>
          <w:rtl/>
        </w:rPr>
        <w:t xml:space="preserve">כללי המדידה של </w:t>
      </w:r>
      <w:r w:rsidRPr="006B75D0">
        <w:rPr>
          <w:rFonts w:eastAsiaTheme="minorEastAsia" w:cs="David" w:hint="cs"/>
          <w:sz w:val="24"/>
          <w:szCs w:val="24"/>
        </w:rPr>
        <w:t>IAS39</w:t>
      </w:r>
      <w:r w:rsidRPr="006B75D0">
        <w:rPr>
          <w:rFonts w:eastAsiaTheme="minorEastAsia" w:cs="David" w:hint="cs"/>
          <w:sz w:val="24"/>
          <w:szCs w:val="24"/>
          <w:rtl/>
        </w:rPr>
        <w:t xml:space="preserve"> קובעים כי במועד ההכרה לראשונה הם צריכים להימדד בשוו"ה </w:t>
      </w:r>
    </w:p>
    <w:p w:rsidR="006B75D0" w:rsidRPr="006B75D0" w:rsidRDefault="006B75D0" w:rsidP="006B75D0">
      <w:pPr>
        <w:pStyle w:val="a7"/>
        <w:numPr>
          <w:ilvl w:val="0"/>
          <w:numId w:val="40"/>
        </w:numPr>
        <w:spacing w:line="360" w:lineRule="auto"/>
        <w:jc w:val="both"/>
        <w:rPr>
          <w:rFonts w:eastAsiaTheme="minorEastAsia" w:cs="David" w:hint="cs"/>
          <w:sz w:val="24"/>
          <w:szCs w:val="24"/>
        </w:rPr>
      </w:pPr>
      <w:r w:rsidRPr="006B75D0">
        <w:rPr>
          <w:rFonts w:eastAsiaTheme="minorEastAsia" w:cs="David" w:hint="cs"/>
          <w:sz w:val="24"/>
          <w:szCs w:val="24"/>
          <w:rtl/>
        </w:rPr>
        <w:t xml:space="preserve">אם לא נמדוד בשוו"ה </w:t>
      </w:r>
      <w:proofErr w:type="spellStart"/>
      <w:r w:rsidRPr="006B75D0">
        <w:rPr>
          <w:rFonts w:eastAsiaTheme="minorEastAsia" w:cs="David" w:hint="cs"/>
          <w:sz w:val="24"/>
          <w:szCs w:val="24"/>
          <w:rtl/>
        </w:rPr>
        <w:t>יווצר</w:t>
      </w:r>
      <w:proofErr w:type="spellEnd"/>
      <w:r w:rsidRPr="006B75D0">
        <w:rPr>
          <w:rFonts w:eastAsiaTheme="minorEastAsia" w:cs="David" w:hint="cs"/>
          <w:sz w:val="24"/>
          <w:szCs w:val="24"/>
          <w:rtl/>
        </w:rPr>
        <w:t xml:space="preserve"> מצב שכבר ביום הראשון נצטרך לשערך את ההתחייבות וזה יגרום להכרה ברווח והפסד כבר באותו יום . </w:t>
      </w:r>
    </w:p>
    <w:p w:rsidR="006B75D0" w:rsidRDefault="006B75D0" w:rsidP="006B75D0">
      <w:pPr>
        <w:spacing w:line="360" w:lineRule="auto"/>
        <w:ind w:left="720"/>
        <w:jc w:val="both"/>
        <w:rPr>
          <w:rFonts w:eastAsiaTheme="minorEastAsia" w:cs="David" w:hint="cs"/>
          <w:sz w:val="24"/>
          <w:szCs w:val="24"/>
          <w:rtl/>
        </w:rPr>
      </w:pPr>
      <w:r w:rsidRPr="00D35903">
        <w:rPr>
          <w:rFonts w:eastAsiaTheme="minorEastAsia" w:cs="David" w:hint="cs"/>
          <w:b/>
          <w:bCs/>
          <w:sz w:val="24"/>
          <w:szCs w:val="24"/>
          <w:rtl/>
        </w:rPr>
        <w:t>למשל:</w:t>
      </w:r>
      <w:r w:rsidRPr="006B75D0">
        <w:rPr>
          <w:rFonts w:eastAsiaTheme="minorEastAsia" w:cs="David" w:hint="cs"/>
          <w:sz w:val="24"/>
          <w:szCs w:val="24"/>
          <w:rtl/>
        </w:rPr>
        <w:t xml:space="preserve"> ישות הנפיקה בחבילה מניה אחת ואופציה אחת שנמדדת בשוו"ה דרך </w:t>
      </w:r>
      <w:proofErr w:type="spellStart"/>
      <w:r w:rsidRPr="006B75D0">
        <w:rPr>
          <w:rFonts w:eastAsiaTheme="minorEastAsia" w:cs="David" w:hint="cs"/>
          <w:sz w:val="24"/>
          <w:szCs w:val="24"/>
          <w:rtl/>
        </w:rPr>
        <w:t>רוה"ס</w:t>
      </w:r>
      <w:proofErr w:type="spellEnd"/>
      <w:r w:rsidRPr="006B75D0">
        <w:rPr>
          <w:rFonts w:eastAsiaTheme="minorEastAsia" w:cs="David" w:hint="cs"/>
          <w:sz w:val="24"/>
          <w:szCs w:val="24"/>
          <w:rtl/>
        </w:rPr>
        <w:t xml:space="preserve"> (למשל אופציה צמודה למדד) מחיר החבילה 100. בימי המסחר הראשונים , כל אחד מניירות הערך נסחר ב-60 </w:t>
      </w:r>
      <w:r w:rsidRPr="006B75D0">
        <w:rPr>
          <w:rFonts w:eastAsiaTheme="minorEastAsia" w:cs="David" w:hint="eastAsia"/>
          <w:sz w:val="24"/>
          <w:szCs w:val="24"/>
          <w:rtl/>
        </w:rPr>
        <w:t>₪</w:t>
      </w:r>
      <w:r w:rsidRPr="006B75D0">
        <w:rPr>
          <w:rFonts w:eastAsiaTheme="minorEastAsia" w:cs="David" w:hint="cs"/>
          <w:sz w:val="24"/>
          <w:szCs w:val="24"/>
          <w:rtl/>
        </w:rPr>
        <w:t xml:space="preserve"> . לכאורה היה ניתן לחשוב </w:t>
      </w:r>
      <w:r>
        <w:rPr>
          <w:rFonts w:eastAsiaTheme="minorEastAsia" w:cs="David" w:hint="cs"/>
          <w:sz w:val="24"/>
          <w:szCs w:val="24"/>
          <w:rtl/>
        </w:rPr>
        <w:t>כי יש לייחס למניה 50 ולאופציה 50</w:t>
      </w:r>
      <w:r w:rsidRPr="006B75D0">
        <w:rPr>
          <w:rFonts w:eastAsiaTheme="minorEastAsia" w:cs="David" w:hint="cs"/>
          <w:sz w:val="24"/>
          <w:szCs w:val="24"/>
          <w:rtl/>
        </w:rPr>
        <w:t>.</w:t>
      </w:r>
      <w:r>
        <w:rPr>
          <w:rFonts w:eastAsiaTheme="minorEastAsia" w:cs="David" w:hint="cs"/>
          <w:sz w:val="24"/>
          <w:szCs w:val="24"/>
          <w:rtl/>
        </w:rPr>
        <w:t xml:space="preserve"> אבל אם נעשה כך אנו טועים פעמיים </w:t>
      </w:r>
      <w:r>
        <w:rPr>
          <w:rFonts w:eastAsiaTheme="minorEastAsia" w:cs="David"/>
          <w:sz w:val="24"/>
          <w:szCs w:val="24"/>
          <w:rtl/>
        </w:rPr>
        <w:t>–</w:t>
      </w:r>
    </w:p>
    <w:p w:rsidR="006B75D0" w:rsidRDefault="00443EC5" w:rsidP="006B75D0">
      <w:pPr>
        <w:spacing w:line="360" w:lineRule="auto"/>
        <w:ind w:left="720"/>
        <w:jc w:val="both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טעות</w:t>
      </w:r>
      <w:r w:rsidR="006B75D0">
        <w:rPr>
          <w:rFonts w:eastAsiaTheme="minorEastAsia" w:cs="David" w:hint="cs"/>
          <w:sz w:val="24"/>
          <w:szCs w:val="24"/>
          <w:rtl/>
        </w:rPr>
        <w:t xml:space="preserve"> ראשונה </w:t>
      </w:r>
      <w:r w:rsidR="006B75D0">
        <w:rPr>
          <w:rFonts w:eastAsiaTheme="minorEastAsia" w:cs="David"/>
          <w:sz w:val="24"/>
          <w:szCs w:val="24"/>
          <w:rtl/>
        </w:rPr>
        <w:t>–</w:t>
      </w:r>
      <w:r w:rsidR="006B75D0">
        <w:rPr>
          <w:rFonts w:eastAsiaTheme="minorEastAsia" w:cs="David" w:hint="cs"/>
          <w:sz w:val="24"/>
          <w:szCs w:val="24"/>
          <w:rtl/>
        </w:rPr>
        <w:t xml:space="preserve"> אנו עוברים על הוראות המדידה של </w:t>
      </w:r>
      <w:r w:rsidR="006B75D0">
        <w:rPr>
          <w:rFonts w:eastAsiaTheme="minorEastAsia" w:cs="David" w:hint="cs"/>
          <w:sz w:val="24"/>
          <w:szCs w:val="24"/>
        </w:rPr>
        <w:t>IAS39</w:t>
      </w:r>
      <w:r w:rsidR="006B75D0">
        <w:rPr>
          <w:rFonts w:eastAsiaTheme="minorEastAsia" w:cs="David" w:hint="cs"/>
          <w:sz w:val="24"/>
          <w:szCs w:val="24"/>
          <w:rtl/>
        </w:rPr>
        <w:t xml:space="preserve"> אשר קובעות כי במועד ההכרה לראשונה האופציה צריכה להימדד ב-60 </w:t>
      </w:r>
      <w:r w:rsidR="006B75D0">
        <w:rPr>
          <w:rFonts w:eastAsiaTheme="minorEastAsia" w:cs="David"/>
          <w:sz w:val="24"/>
          <w:szCs w:val="24"/>
          <w:rtl/>
        </w:rPr>
        <w:t>–</w:t>
      </w:r>
      <w:r w:rsidR="006B75D0">
        <w:rPr>
          <w:rFonts w:eastAsiaTheme="minorEastAsia" w:cs="David" w:hint="cs"/>
          <w:sz w:val="24"/>
          <w:szCs w:val="24"/>
          <w:rtl/>
        </w:rPr>
        <w:t xml:space="preserve"> </w:t>
      </w:r>
      <w:proofErr w:type="spellStart"/>
      <w:r w:rsidR="006B75D0">
        <w:rPr>
          <w:rFonts w:eastAsiaTheme="minorEastAsia" w:cs="David" w:hint="cs"/>
          <w:sz w:val="24"/>
          <w:szCs w:val="24"/>
          <w:rtl/>
        </w:rPr>
        <w:t>שוו"ה</w:t>
      </w:r>
      <w:proofErr w:type="spellEnd"/>
      <w:r w:rsidR="006B75D0">
        <w:rPr>
          <w:rFonts w:eastAsiaTheme="minorEastAsia" w:cs="David" w:hint="cs"/>
          <w:sz w:val="24"/>
          <w:szCs w:val="24"/>
          <w:rtl/>
        </w:rPr>
        <w:t xml:space="preserve"> . </w:t>
      </w:r>
      <w:r w:rsidR="006B75D0" w:rsidRPr="006B75D0">
        <w:rPr>
          <w:rFonts w:eastAsiaTheme="minorEastAsia" w:cs="David" w:hint="cs"/>
          <w:sz w:val="24"/>
          <w:szCs w:val="24"/>
          <w:rtl/>
        </w:rPr>
        <w:t xml:space="preserve"> </w:t>
      </w:r>
    </w:p>
    <w:p w:rsidR="006B75D0" w:rsidRDefault="006B75D0" w:rsidP="006B75D0">
      <w:pPr>
        <w:spacing w:line="360" w:lineRule="auto"/>
        <w:ind w:left="720"/>
        <w:jc w:val="both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 xml:space="preserve">טעות שניה </w:t>
      </w:r>
      <w:r>
        <w:rPr>
          <w:rFonts w:eastAsiaTheme="minorEastAsia" w:cs="David"/>
          <w:sz w:val="24"/>
          <w:szCs w:val="24"/>
          <w:rtl/>
        </w:rPr>
        <w:t>–</w:t>
      </w:r>
      <w:r>
        <w:rPr>
          <w:rFonts w:eastAsiaTheme="minorEastAsia" w:cs="David" w:hint="cs"/>
          <w:sz w:val="24"/>
          <w:szCs w:val="24"/>
          <w:rtl/>
        </w:rPr>
        <w:t xml:space="preserve"> כבר באותו יום נצטרך לשערך את האופציה מ-50 ל-60 ולהכיר בהפסד של 10</w:t>
      </w:r>
      <w:r w:rsidR="00443EC5">
        <w:rPr>
          <w:rFonts w:eastAsiaTheme="minorEastAsia" w:cs="David" w:hint="cs"/>
          <w:sz w:val="24"/>
          <w:szCs w:val="24"/>
          <w:rtl/>
        </w:rPr>
        <w:t xml:space="preserve">. </w:t>
      </w:r>
    </w:p>
    <w:p w:rsidR="00443EC5" w:rsidRPr="006B75D0" w:rsidRDefault="00443EC5" w:rsidP="006B75D0">
      <w:pPr>
        <w:spacing w:line="360" w:lineRule="auto"/>
        <w:ind w:left="720"/>
        <w:jc w:val="both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 xml:space="preserve">ולכן ההקצאה הנכונה היא </w:t>
      </w:r>
      <w:r>
        <w:rPr>
          <w:rFonts w:eastAsiaTheme="minorEastAsia" w:cs="David"/>
          <w:sz w:val="24"/>
          <w:szCs w:val="24"/>
          <w:rtl/>
        </w:rPr>
        <w:t>–</w:t>
      </w:r>
      <w:r>
        <w:rPr>
          <w:rFonts w:eastAsiaTheme="minorEastAsia" w:cs="David" w:hint="cs"/>
          <w:sz w:val="24"/>
          <w:szCs w:val="24"/>
          <w:rtl/>
        </w:rPr>
        <w:t xml:space="preserve"> אופציות 60 , מניה 40 . </w:t>
      </w:r>
    </w:p>
    <w:p w:rsidR="00D35903" w:rsidRPr="00D35903" w:rsidRDefault="00D35903" w:rsidP="00D35903">
      <w:pPr>
        <w:pStyle w:val="a7"/>
        <w:numPr>
          <w:ilvl w:val="0"/>
          <w:numId w:val="39"/>
        </w:numPr>
        <w:spacing w:line="360" w:lineRule="auto"/>
        <w:ind w:left="714" w:hanging="357"/>
        <w:jc w:val="both"/>
        <w:rPr>
          <w:rFonts w:eastAsiaTheme="minorEastAsia" w:cs="David" w:hint="cs"/>
          <w:b/>
          <w:bCs/>
          <w:sz w:val="24"/>
          <w:szCs w:val="24"/>
        </w:rPr>
      </w:pPr>
      <w:r w:rsidRPr="00D35903">
        <w:rPr>
          <w:rFonts w:eastAsiaTheme="minorEastAsia" w:cs="David" w:hint="cs"/>
          <w:b/>
          <w:bCs/>
          <w:sz w:val="24"/>
          <w:szCs w:val="24"/>
          <w:rtl/>
        </w:rPr>
        <w:t xml:space="preserve">התחייבויות שבמועד ההכרה לראשונה נמדדות בשוו"ה </w:t>
      </w:r>
      <w:r>
        <w:rPr>
          <w:rFonts w:eastAsiaTheme="minorEastAsia" w:cs="David" w:hint="cs"/>
          <w:b/>
          <w:bCs/>
          <w:sz w:val="24"/>
          <w:szCs w:val="24"/>
          <w:rtl/>
        </w:rPr>
        <w:t xml:space="preserve">והמדידה העוקבת היא עלות מופחתת </w:t>
      </w:r>
      <w:r>
        <w:rPr>
          <w:rFonts w:eastAsiaTheme="minorEastAsia" w:cs="David"/>
          <w:b/>
          <w:bCs/>
          <w:sz w:val="24"/>
          <w:szCs w:val="24"/>
          <w:rtl/>
        </w:rPr>
        <w:t>–</w:t>
      </w:r>
      <w:r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  <w:r>
        <w:rPr>
          <w:rFonts w:eastAsiaTheme="minorEastAsia" w:cs="David" w:hint="cs"/>
          <w:sz w:val="24"/>
          <w:szCs w:val="24"/>
          <w:rtl/>
        </w:rPr>
        <w:t xml:space="preserve">כגון : אג"ח לשלם, מרכיב התחייבות של אג"ח להמרה . </w:t>
      </w:r>
    </w:p>
    <w:p w:rsidR="00B538DD" w:rsidRDefault="00D35903" w:rsidP="00D35903">
      <w:pPr>
        <w:pStyle w:val="a7"/>
        <w:spacing w:line="360" w:lineRule="auto"/>
        <w:ind w:left="714"/>
        <w:jc w:val="both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 xml:space="preserve">גם להן נייחס את </w:t>
      </w:r>
      <w:proofErr w:type="spellStart"/>
      <w:r>
        <w:rPr>
          <w:rFonts w:eastAsiaTheme="minorEastAsia" w:cs="David" w:hint="cs"/>
          <w:sz w:val="24"/>
          <w:szCs w:val="24"/>
          <w:rtl/>
        </w:rPr>
        <w:t>השוו"ה</w:t>
      </w:r>
      <w:proofErr w:type="spellEnd"/>
      <w:r>
        <w:rPr>
          <w:rFonts w:eastAsiaTheme="minorEastAsia" w:cs="David" w:hint="cs"/>
          <w:sz w:val="24"/>
          <w:szCs w:val="24"/>
          <w:rtl/>
        </w:rPr>
        <w:t xml:space="preserve"> , הסיבה היא שבמועד ההכרה לראשונה יש למדוד אותם לפי </w:t>
      </w:r>
      <w:proofErr w:type="spellStart"/>
      <w:r>
        <w:rPr>
          <w:rFonts w:eastAsiaTheme="minorEastAsia" w:cs="David" w:hint="cs"/>
          <w:sz w:val="24"/>
          <w:szCs w:val="24"/>
          <w:rtl/>
        </w:rPr>
        <w:t>שוו"ה</w:t>
      </w:r>
      <w:proofErr w:type="spellEnd"/>
      <w:r>
        <w:rPr>
          <w:rFonts w:eastAsiaTheme="minorEastAsia" w:cs="David" w:hint="cs"/>
          <w:sz w:val="24"/>
          <w:szCs w:val="24"/>
          <w:rtl/>
        </w:rPr>
        <w:t xml:space="preserve"> לפי הוראות </w:t>
      </w:r>
      <w:r>
        <w:rPr>
          <w:rFonts w:eastAsiaTheme="minorEastAsia" w:cs="David" w:hint="cs"/>
          <w:sz w:val="24"/>
          <w:szCs w:val="24"/>
        </w:rPr>
        <w:t>IAS39</w:t>
      </w:r>
      <w:r>
        <w:rPr>
          <w:rFonts w:eastAsiaTheme="minorEastAsia" w:cs="David" w:hint="cs"/>
          <w:sz w:val="24"/>
          <w:szCs w:val="24"/>
          <w:rtl/>
        </w:rPr>
        <w:t xml:space="preserve"> .</w:t>
      </w:r>
    </w:p>
    <w:p w:rsidR="006C2774" w:rsidRPr="006C2774" w:rsidRDefault="00B538DD" w:rsidP="00B538DD">
      <w:pPr>
        <w:pStyle w:val="a7"/>
        <w:numPr>
          <w:ilvl w:val="0"/>
          <w:numId w:val="39"/>
        </w:numPr>
        <w:spacing w:line="360" w:lineRule="auto"/>
        <w:jc w:val="both"/>
        <w:rPr>
          <w:rFonts w:eastAsiaTheme="minorEastAsia" w:cs="David"/>
          <w:b/>
          <w:bCs/>
          <w:sz w:val="24"/>
          <w:szCs w:val="24"/>
        </w:rPr>
      </w:pPr>
      <w:r>
        <w:rPr>
          <w:rFonts w:eastAsiaTheme="minorEastAsia" w:cs="David" w:hint="cs"/>
          <w:sz w:val="24"/>
          <w:szCs w:val="24"/>
          <w:rtl/>
        </w:rPr>
        <w:lastRenderedPageBreak/>
        <w:t xml:space="preserve"> </w:t>
      </w:r>
      <w:r>
        <w:rPr>
          <w:rFonts w:eastAsiaTheme="minorEastAsia" w:cs="David" w:hint="cs"/>
          <w:b/>
          <w:bCs/>
          <w:sz w:val="24"/>
          <w:szCs w:val="24"/>
          <w:rtl/>
        </w:rPr>
        <w:t xml:space="preserve">מרכיבי ההון </w:t>
      </w:r>
      <w:r w:rsidR="006C2774">
        <w:rPr>
          <w:rFonts w:eastAsiaTheme="minorEastAsia" w:cs="David"/>
          <w:b/>
          <w:bCs/>
          <w:sz w:val="24"/>
          <w:szCs w:val="24"/>
          <w:rtl/>
        </w:rPr>
        <w:t>–</w:t>
      </w:r>
      <w:r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  <w:r w:rsidR="006C2774">
        <w:rPr>
          <w:rFonts w:eastAsiaTheme="minorEastAsia" w:cs="David" w:hint="cs"/>
          <w:sz w:val="24"/>
          <w:szCs w:val="24"/>
          <w:rtl/>
        </w:rPr>
        <w:t xml:space="preserve">הון מוגדר כשארית ולכן שארית התמורה מיוחסת להון , ואם יש כמה מרכיבי הון נחלק את התמורה </w:t>
      </w:r>
      <w:proofErr w:type="spellStart"/>
      <w:r w:rsidR="006C2774">
        <w:rPr>
          <w:rFonts w:eastAsiaTheme="minorEastAsia" w:cs="David" w:hint="cs"/>
          <w:sz w:val="24"/>
          <w:szCs w:val="24"/>
          <w:rtl/>
        </w:rPr>
        <w:t>בינהם</w:t>
      </w:r>
      <w:proofErr w:type="spellEnd"/>
      <w:r w:rsidR="006C2774">
        <w:rPr>
          <w:rFonts w:eastAsiaTheme="minorEastAsia" w:cs="David" w:hint="cs"/>
          <w:sz w:val="24"/>
          <w:szCs w:val="24"/>
          <w:rtl/>
        </w:rPr>
        <w:t xml:space="preserve"> לפי פרופורציה של </w:t>
      </w:r>
      <w:proofErr w:type="spellStart"/>
      <w:r w:rsidR="006C2774">
        <w:rPr>
          <w:rFonts w:eastAsiaTheme="minorEastAsia" w:cs="David" w:hint="cs"/>
          <w:sz w:val="24"/>
          <w:szCs w:val="24"/>
          <w:rtl/>
        </w:rPr>
        <w:t>השוו"ה</w:t>
      </w:r>
      <w:proofErr w:type="spellEnd"/>
      <w:r w:rsidR="006C2774">
        <w:rPr>
          <w:rFonts w:eastAsiaTheme="minorEastAsia" w:cs="David" w:hint="cs"/>
          <w:sz w:val="24"/>
          <w:szCs w:val="24"/>
          <w:rtl/>
        </w:rPr>
        <w:t xml:space="preserve"> .</w:t>
      </w:r>
    </w:p>
    <w:p w:rsidR="00591049" w:rsidRPr="006C2774" w:rsidRDefault="006C2774" w:rsidP="006C2774">
      <w:pPr>
        <w:spacing w:line="360" w:lineRule="auto"/>
        <w:ind w:left="360"/>
        <w:jc w:val="both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דגש: </w:t>
      </w:r>
      <w:r w:rsidR="00D35903" w:rsidRPr="006C2774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  <w:r>
        <w:rPr>
          <w:rFonts w:eastAsiaTheme="minorEastAsia" w:cs="David" w:hint="cs"/>
          <w:b/>
          <w:bCs/>
          <w:sz w:val="24"/>
          <w:szCs w:val="24"/>
          <w:rtl/>
        </w:rPr>
        <w:t xml:space="preserve">במידה והנפקת החבילה מלווה בעלויות הנפקה נייחס את העלויות לניירות ערך לפי פרופורציה של הערך הפנקסני . להזכירכם , שאותן עלויות המיוחסות להתחייבויות בשוו"ה דרך </w:t>
      </w:r>
      <w:proofErr w:type="spellStart"/>
      <w:r>
        <w:rPr>
          <w:rFonts w:eastAsiaTheme="minorEastAsia" w:cs="David" w:hint="cs"/>
          <w:b/>
          <w:bCs/>
          <w:sz w:val="24"/>
          <w:szCs w:val="24"/>
          <w:rtl/>
        </w:rPr>
        <w:t>רוה"ס</w:t>
      </w:r>
      <w:proofErr w:type="spellEnd"/>
      <w:r>
        <w:rPr>
          <w:rFonts w:eastAsiaTheme="minorEastAsia" w:cs="David" w:hint="cs"/>
          <w:b/>
          <w:bCs/>
          <w:sz w:val="24"/>
          <w:szCs w:val="24"/>
          <w:rtl/>
        </w:rPr>
        <w:t xml:space="preserve"> נרשמות כהוצאה, והעלויות המיוחסות להתחייבויות הפיננסיות גורמות לכך שנחשב ריבית אפקטיבית חדשה . </w:t>
      </w:r>
    </w:p>
    <w:p w:rsidR="004714A4" w:rsidRPr="00521DDF" w:rsidRDefault="004714A4" w:rsidP="00521DDF">
      <w:pPr>
        <w:spacing w:line="360" w:lineRule="auto"/>
        <w:jc w:val="both"/>
        <w:rPr>
          <w:rFonts w:eastAsiaTheme="minorEastAsia" w:cs="David" w:hint="cs"/>
          <w:sz w:val="24"/>
          <w:szCs w:val="24"/>
          <w:rtl/>
        </w:rPr>
      </w:pPr>
    </w:p>
    <w:sectPr w:rsidR="004714A4" w:rsidRPr="00521DDF" w:rsidSect="001E6F7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98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24" w:rsidRDefault="00546B24" w:rsidP="00F172F9">
      <w:pPr>
        <w:spacing w:after="0" w:line="240" w:lineRule="auto"/>
      </w:pPr>
      <w:r>
        <w:separator/>
      </w:r>
    </w:p>
  </w:endnote>
  <w:endnote w:type="continuationSeparator" w:id="0">
    <w:p w:rsidR="00546B24" w:rsidRDefault="00546B24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94666325"/>
      <w:docPartObj>
        <w:docPartGallery w:val="Page Numbers (Bottom of Page)"/>
        <w:docPartUnique/>
      </w:docPartObj>
    </w:sdtPr>
    <w:sdtEndPr/>
    <w:sdtContent>
      <w:p w:rsidR="00506722" w:rsidRDefault="00506722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B4F5C" w:rsidRPr="007B4F5C">
          <w:rPr>
            <w:noProof/>
            <w:rtl/>
            <w:lang w:val="he-IL"/>
          </w:rPr>
          <w:t>199</w:t>
        </w:r>
        <w:r>
          <w:fldChar w:fldCharType="end"/>
        </w:r>
      </w:p>
    </w:sdtContent>
  </w:sdt>
  <w:p w:rsidR="00506722" w:rsidRDefault="00506722">
    <w:pPr>
      <w:pStyle w:val="a5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24" w:rsidRDefault="00546B24" w:rsidP="00F172F9">
      <w:pPr>
        <w:spacing w:after="0" w:line="240" w:lineRule="auto"/>
      </w:pPr>
      <w:r>
        <w:separator/>
      </w:r>
    </w:p>
  </w:footnote>
  <w:footnote w:type="continuationSeparator" w:id="0">
    <w:p w:rsidR="00546B24" w:rsidRDefault="00546B24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22" w:rsidRPr="00F172F9" w:rsidRDefault="00506722" w:rsidP="006B0360">
    <w:pPr>
      <w:pStyle w:val="a3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F172F9">
      <w:rPr>
        <w:rFonts w:cs="David"/>
        <w:sz w:val="24"/>
        <w:szCs w:val="24"/>
        <w:rtl/>
      </w:rPr>
      <w:ptab w:relativeTo="margin" w:alignment="center" w:leader="none"/>
    </w:r>
    <w:r w:rsidRPr="00F43900">
      <w:rPr>
        <w:rFonts w:cs="David" w:hint="cs"/>
        <w:color w:val="2F5496" w:themeColor="accent5" w:themeShade="BF"/>
        <w:sz w:val="24"/>
        <w:szCs w:val="24"/>
        <w:rtl/>
      </w:rPr>
      <w:t xml:space="preserve"> © כל הזכויות שמורות לרחל ישר </w:t>
    </w:r>
    <w:r w:rsidRPr="00F172F9">
      <w:rPr>
        <w:rFonts w:cs="David"/>
        <w:sz w:val="24"/>
        <w:szCs w:val="24"/>
        <w:rtl/>
      </w:rPr>
      <w:ptab w:relativeTo="margin" w:alignment="right" w:leader="none"/>
    </w:r>
    <w:r w:rsidR="001E6F73">
      <w:rPr>
        <w:rFonts w:cs="David" w:hint="cs"/>
        <w:sz w:val="24"/>
        <w:szCs w:val="24"/>
        <w:rtl/>
      </w:rPr>
      <w:t>02/11</w:t>
    </w:r>
    <w:r>
      <w:rPr>
        <w:rFonts w:cs="David" w:hint="cs"/>
        <w:sz w:val="24"/>
        <w:szCs w:val="24"/>
        <w:rtl/>
      </w:rPr>
      <w:t>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6E06"/>
    <w:multiLevelType w:val="hybridMultilevel"/>
    <w:tmpl w:val="027246A4"/>
    <w:lvl w:ilvl="0" w:tplc="85103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1E6B"/>
    <w:multiLevelType w:val="hybridMultilevel"/>
    <w:tmpl w:val="73FC278A"/>
    <w:lvl w:ilvl="0" w:tplc="36B6498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C4BC3"/>
    <w:multiLevelType w:val="hybridMultilevel"/>
    <w:tmpl w:val="EF56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D302F"/>
    <w:multiLevelType w:val="hybridMultilevel"/>
    <w:tmpl w:val="294CC026"/>
    <w:lvl w:ilvl="0" w:tplc="FCC4A2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1525CF"/>
    <w:multiLevelType w:val="hybridMultilevel"/>
    <w:tmpl w:val="C5865ABC"/>
    <w:lvl w:ilvl="0" w:tplc="47588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61071"/>
    <w:multiLevelType w:val="hybridMultilevel"/>
    <w:tmpl w:val="C24C5E4A"/>
    <w:lvl w:ilvl="0" w:tplc="1B4ECC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54415"/>
    <w:multiLevelType w:val="hybridMultilevel"/>
    <w:tmpl w:val="5F2E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21D73"/>
    <w:multiLevelType w:val="hybridMultilevel"/>
    <w:tmpl w:val="CA6C2CDE"/>
    <w:lvl w:ilvl="0" w:tplc="5F22120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A5AB0"/>
    <w:multiLevelType w:val="hybridMultilevel"/>
    <w:tmpl w:val="484CFE96"/>
    <w:lvl w:ilvl="0" w:tplc="605AE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959DD"/>
    <w:multiLevelType w:val="hybridMultilevel"/>
    <w:tmpl w:val="6018F78A"/>
    <w:lvl w:ilvl="0" w:tplc="1742BA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415AE"/>
    <w:multiLevelType w:val="hybridMultilevel"/>
    <w:tmpl w:val="5A968072"/>
    <w:lvl w:ilvl="0" w:tplc="A2120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30D87"/>
    <w:multiLevelType w:val="hybridMultilevel"/>
    <w:tmpl w:val="C3669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D6B6C"/>
    <w:multiLevelType w:val="hybridMultilevel"/>
    <w:tmpl w:val="F86A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C6292"/>
    <w:multiLevelType w:val="hybridMultilevel"/>
    <w:tmpl w:val="E1481246"/>
    <w:lvl w:ilvl="0" w:tplc="F222C61E">
      <w:start w:val="10"/>
      <w:numFmt w:val="bullet"/>
      <w:lvlText w:val="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A93855"/>
    <w:multiLevelType w:val="hybridMultilevel"/>
    <w:tmpl w:val="D026F7A0"/>
    <w:lvl w:ilvl="0" w:tplc="4CBC2C4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17A23"/>
    <w:multiLevelType w:val="hybridMultilevel"/>
    <w:tmpl w:val="3F4C92CC"/>
    <w:lvl w:ilvl="0" w:tplc="6E2AC93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5A2E0E"/>
    <w:multiLevelType w:val="hybridMultilevel"/>
    <w:tmpl w:val="D50A9C44"/>
    <w:lvl w:ilvl="0" w:tplc="1EBA2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C34A2"/>
    <w:multiLevelType w:val="hybridMultilevel"/>
    <w:tmpl w:val="947CC840"/>
    <w:lvl w:ilvl="0" w:tplc="F222C61E">
      <w:start w:val="10"/>
      <w:numFmt w:val="bullet"/>
      <w:lvlText w:val="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011D48"/>
    <w:multiLevelType w:val="hybridMultilevel"/>
    <w:tmpl w:val="5570381A"/>
    <w:lvl w:ilvl="0" w:tplc="1742BA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753C4"/>
    <w:multiLevelType w:val="hybridMultilevel"/>
    <w:tmpl w:val="241C8B98"/>
    <w:lvl w:ilvl="0" w:tplc="E948FA66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97371"/>
    <w:multiLevelType w:val="hybridMultilevel"/>
    <w:tmpl w:val="0ACA65FC"/>
    <w:lvl w:ilvl="0" w:tplc="0ECAC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53EE1"/>
    <w:multiLevelType w:val="hybridMultilevel"/>
    <w:tmpl w:val="84CE74DE"/>
    <w:lvl w:ilvl="0" w:tplc="C266339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85472A"/>
    <w:multiLevelType w:val="hybridMultilevel"/>
    <w:tmpl w:val="72FA6E2C"/>
    <w:lvl w:ilvl="0" w:tplc="F4FA9C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41B1B"/>
    <w:multiLevelType w:val="hybridMultilevel"/>
    <w:tmpl w:val="5986F4D6"/>
    <w:lvl w:ilvl="0" w:tplc="587884D4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147D68"/>
    <w:multiLevelType w:val="hybridMultilevel"/>
    <w:tmpl w:val="17580332"/>
    <w:lvl w:ilvl="0" w:tplc="1B4ECC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51BDE"/>
    <w:multiLevelType w:val="hybridMultilevel"/>
    <w:tmpl w:val="BE00B104"/>
    <w:lvl w:ilvl="0" w:tplc="78245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E50CD"/>
    <w:multiLevelType w:val="hybridMultilevel"/>
    <w:tmpl w:val="23CEDB68"/>
    <w:lvl w:ilvl="0" w:tplc="A12A4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10230"/>
    <w:multiLevelType w:val="hybridMultilevel"/>
    <w:tmpl w:val="C340FD58"/>
    <w:lvl w:ilvl="0" w:tplc="C39E01B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92A7A"/>
    <w:multiLevelType w:val="hybridMultilevel"/>
    <w:tmpl w:val="744614B8"/>
    <w:lvl w:ilvl="0" w:tplc="1B4ECC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D7815"/>
    <w:multiLevelType w:val="hybridMultilevel"/>
    <w:tmpl w:val="CDE4341A"/>
    <w:lvl w:ilvl="0" w:tplc="41C6D9F0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5159AF"/>
    <w:multiLevelType w:val="hybridMultilevel"/>
    <w:tmpl w:val="53F089DE"/>
    <w:lvl w:ilvl="0" w:tplc="807CA02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CA58BE"/>
    <w:multiLevelType w:val="hybridMultilevel"/>
    <w:tmpl w:val="ED2AF254"/>
    <w:lvl w:ilvl="0" w:tplc="1CCAB95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43CC9"/>
    <w:multiLevelType w:val="hybridMultilevel"/>
    <w:tmpl w:val="744614B8"/>
    <w:lvl w:ilvl="0" w:tplc="1B4ECC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92E7F"/>
    <w:multiLevelType w:val="hybridMultilevel"/>
    <w:tmpl w:val="96C477DA"/>
    <w:lvl w:ilvl="0" w:tplc="48AC4F26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F94351"/>
    <w:multiLevelType w:val="hybridMultilevel"/>
    <w:tmpl w:val="22A67F72"/>
    <w:lvl w:ilvl="0" w:tplc="CD24662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F24F7"/>
    <w:multiLevelType w:val="hybridMultilevel"/>
    <w:tmpl w:val="84CE593E"/>
    <w:lvl w:ilvl="0" w:tplc="681800A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170D1"/>
    <w:multiLevelType w:val="hybridMultilevel"/>
    <w:tmpl w:val="0E227B36"/>
    <w:lvl w:ilvl="0" w:tplc="44827C3A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1B48DD"/>
    <w:multiLevelType w:val="hybridMultilevel"/>
    <w:tmpl w:val="FE8AA7B8"/>
    <w:lvl w:ilvl="0" w:tplc="A86A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126E9"/>
    <w:multiLevelType w:val="hybridMultilevel"/>
    <w:tmpl w:val="AFF0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13FF3"/>
    <w:multiLevelType w:val="hybridMultilevel"/>
    <w:tmpl w:val="17580332"/>
    <w:lvl w:ilvl="0" w:tplc="1B4ECC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21"/>
  </w:num>
  <w:num w:numId="5">
    <w:abstractNumId w:val="3"/>
  </w:num>
  <w:num w:numId="6">
    <w:abstractNumId w:val="10"/>
  </w:num>
  <w:num w:numId="7">
    <w:abstractNumId w:val="31"/>
  </w:num>
  <w:num w:numId="8">
    <w:abstractNumId w:val="1"/>
  </w:num>
  <w:num w:numId="9">
    <w:abstractNumId w:val="37"/>
  </w:num>
  <w:num w:numId="10">
    <w:abstractNumId w:val="19"/>
  </w:num>
  <w:num w:numId="11">
    <w:abstractNumId w:val="30"/>
  </w:num>
  <w:num w:numId="12">
    <w:abstractNumId w:val="18"/>
  </w:num>
  <w:num w:numId="13">
    <w:abstractNumId w:val="20"/>
  </w:num>
  <w:num w:numId="14">
    <w:abstractNumId w:val="36"/>
  </w:num>
  <w:num w:numId="15">
    <w:abstractNumId w:val="9"/>
  </w:num>
  <w:num w:numId="16">
    <w:abstractNumId w:val="14"/>
  </w:num>
  <w:num w:numId="17">
    <w:abstractNumId w:val="25"/>
  </w:num>
  <w:num w:numId="18">
    <w:abstractNumId w:val="13"/>
  </w:num>
  <w:num w:numId="19">
    <w:abstractNumId w:val="32"/>
  </w:num>
  <w:num w:numId="20">
    <w:abstractNumId w:val="28"/>
  </w:num>
  <w:num w:numId="21">
    <w:abstractNumId w:val="8"/>
  </w:num>
  <w:num w:numId="22">
    <w:abstractNumId w:val="26"/>
  </w:num>
  <w:num w:numId="23">
    <w:abstractNumId w:val="29"/>
  </w:num>
  <w:num w:numId="24">
    <w:abstractNumId w:val="39"/>
  </w:num>
  <w:num w:numId="25">
    <w:abstractNumId w:val="5"/>
  </w:num>
  <w:num w:numId="26">
    <w:abstractNumId w:val="24"/>
  </w:num>
  <w:num w:numId="27">
    <w:abstractNumId w:val="11"/>
  </w:num>
  <w:num w:numId="28">
    <w:abstractNumId w:val="34"/>
  </w:num>
  <w:num w:numId="29">
    <w:abstractNumId w:val="17"/>
  </w:num>
  <w:num w:numId="30">
    <w:abstractNumId w:val="2"/>
  </w:num>
  <w:num w:numId="31">
    <w:abstractNumId w:val="7"/>
  </w:num>
  <w:num w:numId="32">
    <w:abstractNumId w:val="38"/>
  </w:num>
  <w:num w:numId="33">
    <w:abstractNumId w:val="12"/>
  </w:num>
  <w:num w:numId="34">
    <w:abstractNumId w:val="35"/>
  </w:num>
  <w:num w:numId="35">
    <w:abstractNumId w:val="15"/>
  </w:num>
  <w:num w:numId="36">
    <w:abstractNumId w:val="6"/>
  </w:num>
  <w:num w:numId="37">
    <w:abstractNumId w:val="27"/>
  </w:num>
  <w:num w:numId="38">
    <w:abstractNumId w:val="22"/>
  </w:num>
  <w:num w:numId="39">
    <w:abstractNumId w:val="0"/>
  </w:num>
  <w:num w:numId="40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031A0"/>
    <w:rsid w:val="0000395C"/>
    <w:rsid w:val="00004320"/>
    <w:rsid w:val="00004AE3"/>
    <w:rsid w:val="00005C1A"/>
    <w:rsid w:val="00007E7D"/>
    <w:rsid w:val="0001041C"/>
    <w:rsid w:val="0001140B"/>
    <w:rsid w:val="00012FCF"/>
    <w:rsid w:val="00014EBF"/>
    <w:rsid w:val="0002110F"/>
    <w:rsid w:val="00022F40"/>
    <w:rsid w:val="00024136"/>
    <w:rsid w:val="000301A2"/>
    <w:rsid w:val="00031037"/>
    <w:rsid w:val="000325A0"/>
    <w:rsid w:val="00032D2A"/>
    <w:rsid w:val="00034437"/>
    <w:rsid w:val="00034C8B"/>
    <w:rsid w:val="00034F48"/>
    <w:rsid w:val="0003559A"/>
    <w:rsid w:val="00035E1A"/>
    <w:rsid w:val="000363BD"/>
    <w:rsid w:val="00037B2B"/>
    <w:rsid w:val="00041671"/>
    <w:rsid w:val="00042583"/>
    <w:rsid w:val="0004273E"/>
    <w:rsid w:val="0004387F"/>
    <w:rsid w:val="00044B6A"/>
    <w:rsid w:val="000469E5"/>
    <w:rsid w:val="000474AF"/>
    <w:rsid w:val="000501E4"/>
    <w:rsid w:val="00056027"/>
    <w:rsid w:val="00056DB1"/>
    <w:rsid w:val="00057726"/>
    <w:rsid w:val="0005799F"/>
    <w:rsid w:val="000626D2"/>
    <w:rsid w:val="00062979"/>
    <w:rsid w:val="000635D2"/>
    <w:rsid w:val="0006436A"/>
    <w:rsid w:val="00065081"/>
    <w:rsid w:val="00065474"/>
    <w:rsid w:val="00065477"/>
    <w:rsid w:val="00070BB0"/>
    <w:rsid w:val="000711EB"/>
    <w:rsid w:val="00074BC2"/>
    <w:rsid w:val="00076463"/>
    <w:rsid w:val="00085B87"/>
    <w:rsid w:val="00086A1F"/>
    <w:rsid w:val="000945A1"/>
    <w:rsid w:val="00094D10"/>
    <w:rsid w:val="000A25BC"/>
    <w:rsid w:val="000A5E7F"/>
    <w:rsid w:val="000B52B7"/>
    <w:rsid w:val="000B5872"/>
    <w:rsid w:val="000B73F2"/>
    <w:rsid w:val="000B7473"/>
    <w:rsid w:val="000C04AC"/>
    <w:rsid w:val="000C1D89"/>
    <w:rsid w:val="000C1E7F"/>
    <w:rsid w:val="000C2D8D"/>
    <w:rsid w:val="000C2FCB"/>
    <w:rsid w:val="000C4CE7"/>
    <w:rsid w:val="000D0AB8"/>
    <w:rsid w:val="000D0D00"/>
    <w:rsid w:val="000D3873"/>
    <w:rsid w:val="000D3CF8"/>
    <w:rsid w:val="000D3D75"/>
    <w:rsid w:val="000D44F9"/>
    <w:rsid w:val="000D4AA1"/>
    <w:rsid w:val="000D5807"/>
    <w:rsid w:val="000E0AF4"/>
    <w:rsid w:val="000E2D0E"/>
    <w:rsid w:val="000E2D7F"/>
    <w:rsid w:val="000E38FE"/>
    <w:rsid w:val="000E4FDA"/>
    <w:rsid w:val="000E5F79"/>
    <w:rsid w:val="000F01AC"/>
    <w:rsid w:val="000F18A0"/>
    <w:rsid w:val="000F1905"/>
    <w:rsid w:val="000F2900"/>
    <w:rsid w:val="000F35A5"/>
    <w:rsid w:val="000F35B1"/>
    <w:rsid w:val="000F3652"/>
    <w:rsid w:val="000F4E45"/>
    <w:rsid w:val="000F5666"/>
    <w:rsid w:val="000F5E3D"/>
    <w:rsid w:val="00103F4F"/>
    <w:rsid w:val="001040B2"/>
    <w:rsid w:val="00105D60"/>
    <w:rsid w:val="00106CF4"/>
    <w:rsid w:val="00107C72"/>
    <w:rsid w:val="001107F0"/>
    <w:rsid w:val="001110BF"/>
    <w:rsid w:val="00111405"/>
    <w:rsid w:val="00114265"/>
    <w:rsid w:val="00120F55"/>
    <w:rsid w:val="00124B6E"/>
    <w:rsid w:val="001274E4"/>
    <w:rsid w:val="00130A16"/>
    <w:rsid w:val="00133BDF"/>
    <w:rsid w:val="00137FEC"/>
    <w:rsid w:val="001416AE"/>
    <w:rsid w:val="00141BEF"/>
    <w:rsid w:val="00141C1F"/>
    <w:rsid w:val="00142CE2"/>
    <w:rsid w:val="001438BD"/>
    <w:rsid w:val="00145B6D"/>
    <w:rsid w:val="00146DD8"/>
    <w:rsid w:val="001478E2"/>
    <w:rsid w:val="001503FD"/>
    <w:rsid w:val="00151B37"/>
    <w:rsid w:val="00152452"/>
    <w:rsid w:val="001528B5"/>
    <w:rsid w:val="00153A55"/>
    <w:rsid w:val="00153A8C"/>
    <w:rsid w:val="00154F5F"/>
    <w:rsid w:val="00155BF9"/>
    <w:rsid w:val="00157DE7"/>
    <w:rsid w:val="00163565"/>
    <w:rsid w:val="001646EE"/>
    <w:rsid w:val="00171AEA"/>
    <w:rsid w:val="00171E49"/>
    <w:rsid w:val="001732EE"/>
    <w:rsid w:val="0017367A"/>
    <w:rsid w:val="00174761"/>
    <w:rsid w:val="0017556A"/>
    <w:rsid w:val="00177F4F"/>
    <w:rsid w:val="00181677"/>
    <w:rsid w:val="00181AB9"/>
    <w:rsid w:val="00183855"/>
    <w:rsid w:val="001861C7"/>
    <w:rsid w:val="00191FF9"/>
    <w:rsid w:val="00192596"/>
    <w:rsid w:val="0019462D"/>
    <w:rsid w:val="00194A22"/>
    <w:rsid w:val="001965D0"/>
    <w:rsid w:val="0019685F"/>
    <w:rsid w:val="001979E8"/>
    <w:rsid w:val="001A3F0D"/>
    <w:rsid w:val="001A3F35"/>
    <w:rsid w:val="001A662B"/>
    <w:rsid w:val="001A6750"/>
    <w:rsid w:val="001A6D02"/>
    <w:rsid w:val="001B12EE"/>
    <w:rsid w:val="001B271F"/>
    <w:rsid w:val="001B387E"/>
    <w:rsid w:val="001B3F31"/>
    <w:rsid w:val="001B5A4F"/>
    <w:rsid w:val="001B5E4D"/>
    <w:rsid w:val="001B5F84"/>
    <w:rsid w:val="001C0BB8"/>
    <w:rsid w:val="001C1D17"/>
    <w:rsid w:val="001C2B75"/>
    <w:rsid w:val="001C34F2"/>
    <w:rsid w:val="001C3AA4"/>
    <w:rsid w:val="001C44CB"/>
    <w:rsid w:val="001D0F23"/>
    <w:rsid w:val="001D1AA5"/>
    <w:rsid w:val="001D5043"/>
    <w:rsid w:val="001D65D8"/>
    <w:rsid w:val="001D7530"/>
    <w:rsid w:val="001D7CD9"/>
    <w:rsid w:val="001E0348"/>
    <w:rsid w:val="001E6DAB"/>
    <w:rsid w:val="001E6F73"/>
    <w:rsid w:val="001E7999"/>
    <w:rsid w:val="001F1323"/>
    <w:rsid w:val="001F15BC"/>
    <w:rsid w:val="001F1958"/>
    <w:rsid w:val="001F3578"/>
    <w:rsid w:val="001F380B"/>
    <w:rsid w:val="001F479D"/>
    <w:rsid w:val="00204311"/>
    <w:rsid w:val="0020624A"/>
    <w:rsid w:val="00210197"/>
    <w:rsid w:val="00210DB6"/>
    <w:rsid w:val="00211DB6"/>
    <w:rsid w:val="002135F4"/>
    <w:rsid w:val="002142EF"/>
    <w:rsid w:val="00214B39"/>
    <w:rsid w:val="00214B4C"/>
    <w:rsid w:val="00216859"/>
    <w:rsid w:val="00216BD7"/>
    <w:rsid w:val="00225BB1"/>
    <w:rsid w:val="002315F9"/>
    <w:rsid w:val="00233AD5"/>
    <w:rsid w:val="00233CD8"/>
    <w:rsid w:val="00234735"/>
    <w:rsid w:val="00235360"/>
    <w:rsid w:val="00237F0F"/>
    <w:rsid w:val="0024370B"/>
    <w:rsid w:val="00244D75"/>
    <w:rsid w:val="0025078B"/>
    <w:rsid w:val="00250F51"/>
    <w:rsid w:val="0025466F"/>
    <w:rsid w:val="00254F19"/>
    <w:rsid w:val="00255310"/>
    <w:rsid w:val="00255E31"/>
    <w:rsid w:val="00257A37"/>
    <w:rsid w:val="002602DB"/>
    <w:rsid w:val="00260506"/>
    <w:rsid w:val="002626FA"/>
    <w:rsid w:val="00262C3E"/>
    <w:rsid w:val="00263292"/>
    <w:rsid w:val="00263D90"/>
    <w:rsid w:val="00264290"/>
    <w:rsid w:val="002666B2"/>
    <w:rsid w:val="00275593"/>
    <w:rsid w:val="00275D38"/>
    <w:rsid w:val="00275EFC"/>
    <w:rsid w:val="00277E1D"/>
    <w:rsid w:val="00282E82"/>
    <w:rsid w:val="002853DF"/>
    <w:rsid w:val="00287EC0"/>
    <w:rsid w:val="00287F2F"/>
    <w:rsid w:val="00292C44"/>
    <w:rsid w:val="0029385E"/>
    <w:rsid w:val="0029387D"/>
    <w:rsid w:val="002952A5"/>
    <w:rsid w:val="00295838"/>
    <w:rsid w:val="002970BB"/>
    <w:rsid w:val="002A699A"/>
    <w:rsid w:val="002B0858"/>
    <w:rsid w:val="002B0F48"/>
    <w:rsid w:val="002B4677"/>
    <w:rsid w:val="002B5F5D"/>
    <w:rsid w:val="002B7209"/>
    <w:rsid w:val="002B7555"/>
    <w:rsid w:val="002C369E"/>
    <w:rsid w:val="002C6E69"/>
    <w:rsid w:val="002D0384"/>
    <w:rsid w:val="002D0D39"/>
    <w:rsid w:val="002D5B03"/>
    <w:rsid w:val="002E0EC1"/>
    <w:rsid w:val="002E2464"/>
    <w:rsid w:val="002E2812"/>
    <w:rsid w:val="002E3A25"/>
    <w:rsid w:val="002F1E49"/>
    <w:rsid w:val="002F6541"/>
    <w:rsid w:val="002F7118"/>
    <w:rsid w:val="0030224B"/>
    <w:rsid w:val="00303786"/>
    <w:rsid w:val="00304331"/>
    <w:rsid w:val="00304704"/>
    <w:rsid w:val="00304C14"/>
    <w:rsid w:val="00306402"/>
    <w:rsid w:val="0030710C"/>
    <w:rsid w:val="00307A46"/>
    <w:rsid w:val="0031281E"/>
    <w:rsid w:val="00314416"/>
    <w:rsid w:val="0031522C"/>
    <w:rsid w:val="00315466"/>
    <w:rsid w:val="00316565"/>
    <w:rsid w:val="00316951"/>
    <w:rsid w:val="003170CB"/>
    <w:rsid w:val="00317C84"/>
    <w:rsid w:val="003202F6"/>
    <w:rsid w:val="00320BC1"/>
    <w:rsid w:val="00321837"/>
    <w:rsid w:val="00321AB9"/>
    <w:rsid w:val="00322EF8"/>
    <w:rsid w:val="00326050"/>
    <w:rsid w:val="0032761A"/>
    <w:rsid w:val="00330F6A"/>
    <w:rsid w:val="00332039"/>
    <w:rsid w:val="003338FF"/>
    <w:rsid w:val="00333AE6"/>
    <w:rsid w:val="0034091B"/>
    <w:rsid w:val="003454EF"/>
    <w:rsid w:val="00351CEF"/>
    <w:rsid w:val="00351D0A"/>
    <w:rsid w:val="00353B55"/>
    <w:rsid w:val="003563B8"/>
    <w:rsid w:val="003563BC"/>
    <w:rsid w:val="00357D7E"/>
    <w:rsid w:val="003623E2"/>
    <w:rsid w:val="00363B6D"/>
    <w:rsid w:val="0036592B"/>
    <w:rsid w:val="00370064"/>
    <w:rsid w:val="003701A4"/>
    <w:rsid w:val="00370E32"/>
    <w:rsid w:val="003716B5"/>
    <w:rsid w:val="00372501"/>
    <w:rsid w:val="003726A5"/>
    <w:rsid w:val="0037452A"/>
    <w:rsid w:val="00383835"/>
    <w:rsid w:val="00387DA1"/>
    <w:rsid w:val="00393223"/>
    <w:rsid w:val="00395B92"/>
    <w:rsid w:val="00395EFA"/>
    <w:rsid w:val="003967F2"/>
    <w:rsid w:val="00396E59"/>
    <w:rsid w:val="00396EFA"/>
    <w:rsid w:val="0039703C"/>
    <w:rsid w:val="003A02AF"/>
    <w:rsid w:val="003A1BDF"/>
    <w:rsid w:val="003A3AEE"/>
    <w:rsid w:val="003A4E5D"/>
    <w:rsid w:val="003A5320"/>
    <w:rsid w:val="003B06B6"/>
    <w:rsid w:val="003B16E1"/>
    <w:rsid w:val="003B451B"/>
    <w:rsid w:val="003B681C"/>
    <w:rsid w:val="003B790E"/>
    <w:rsid w:val="003C0C76"/>
    <w:rsid w:val="003C1BFB"/>
    <w:rsid w:val="003C2130"/>
    <w:rsid w:val="003C2873"/>
    <w:rsid w:val="003C2ADD"/>
    <w:rsid w:val="003C2C35"/>
    <w:rsid w:val="003C5BF2"/>
    <w:rsid w:val="003C61C2"/>
    <w:rsid w:val="003C7A90"/>
    <w:rsid w:val="003C7FE8"/>
    <w:rsid w:val="003D3000"/>
    <w:rsid w:val="003D3219"/>
    <w:rsid w:val="003D3690"/>
    <w:rsid w:val="003D47AF"/>
    <w:rsid w:val="003D7939"/>
    <w:rsid w:val="003E4BBC"/>
    <w:rsid w:val="003E63AD"/>
    <w:rsid w:val="003F00CA"/>
    <w:rsid w:val="003F5C1D"/>
    <w:rsid w:val="00400039"/>
    <w:rsid w:val="00400434"/>
    <w:rsid w:val="00401323"/>
    <w:rsid w:val="00401692"/>
    <w:rsid w:val="00405BAF"/>
    <w:rsid w:val="004061F6"/>
    <w:rsid w:val="004062EE"/>
    <w:rsid w:val="004132B0"/>
    <w:rsid w:val="0041337A"/>
    <w:rsid w:val="00413CD9"/>
    <w:rsid w:val="00414878"/>
    <w:rsid w:val="00415D40"/>
    <w:rsid w:val="00416CE1"/>
    <w:rsid w:val="004175CF"/>
    <w:rsid w:val="00424CDA"/>
    <w:rsid w:val="00424DA0"/>
    <w:rsid w:val="00431510"/>
    <w:rsid w:val="00431CCA"/>
    <w:rsid w:val="0043321A"/>
    <w:rsid w:val="00435F65"/>
    <w:rsid w:val="0043674D"/>
    <w:rsid w:val="00440D83"/>
    <w:rsid w:val="00441C02"/>
    <w:rsid w:val="00441C4A"/>
    <w:rsid w:val="00442803"/>
    <w:rsid w:val="00443EC5"/>
    <w:rsid w:val="004441EA"/>
    <w:rsid w:val="004441F2"/>
    <w:rsid w:val="004444CF"/>
    <w:rsid w:val="00446495"/>
    <w:rsid w:val="004466F2"/>
    <w:rsid w:val="00447807"/>
    <w:rsid w:val="00447CBD"/>
    <w:rsid w:val="00450099"/>
    <w:rsid w:val="00454204"/>
    <w:rsid w:val="0045446B"/>
    <w:rsid w:val="0045471B"/>
    <w:rsid w:val="00456D14"/>
    <w:rsid w:val="00457CE6"/>
    <w:rsid w:val="00462E24"/>
    <w:rsid w:val="004642BF"/>
    <w:rsid w:val="004666DB"/>
    <w:rsid w:val="00467731"/>
    <w:rsid w:val="004714A4"/>
    <w:rsid w:val="00473877"/>
    <w:rsid w:val="00475314"/>
    <w:rsid w:val="0047642E"/>
    <w:rsid w:val="00476B71"/>
    <w:rsid w:val="00477285"/>
    <w:rsid w:val="004776A1"/>
    <w:rsid w:val="00480EA4"/>
    <w:rsid w:val="00481A21"/>
    <w:rsid w:val="0048217B"/>
    <w:rsid w:val="00482764"/>
    <w:rsid w:val="00485269"/>
    <w:rsid w:val="00485354"/>
    <w:rsid w:val="0048700A"/>
    <w:rsid w:val="0048787F"/>
    <w:rsid w:val="0049015D"/>
    <w:rsid w:val="00493548"/>
    <w:rsid w:val="004A09C9"/>
    <w:rsid w:val="004A1D72"/>
    <w:rsid w:val="004A3A03"/>
    <w:rsid w:val="004A3DA3"/>
    <w:rsid w:val="004B0A8D"/>
    <w:rsid w:val="004B240E"/>
    <w:rsid w:val="004B2E63"/>
    <w:rsid w:val="004B338C"/>
    <w:rsid w:val="004B46D2"/>
    <w:rsid w:val="004B5A83"/>
    <w:rsid w:val="004B6D28"/>
    <w:rsid w:val="004B7889"/>
    <w:rsid w:val="004C11EE"/>
    <w:rsid w:val="004C1C7D"/>
    <w:rsid w:val="004C3C3B"/>
    <w:rsid w:val="004C473C"/>
    <w:rsid w:val="004C51FB"/>
    <w:rsid w:val="004C777B"/>
    <w:rsid w:val="004D0BFC"/>
    <w:rsid w:val="004D1A4F"/>
    <w:rsid w:val="004D2D8E"/>
    <w:rsid w:val="004D3082"/>
    <w:rsid w:val="004D429E"/>
    <w:rsid w:val="004D50EF"/>
    <w:rsid w:val="004D7AF2"/>
    <w:rsid w:val="004E1233"/>
    <w:rsid w:val="004E4EFC"/>
    <w:rsid w:val="004E5619"/>
    <w:rsid w:val="004E653C"/>
    <w:rsid w:val="004F09DC"/>
    <w:rsid w:val="004F1B3C"/>
    <w:rsid w:val="004F370E"/>
    <w:rsid w:val="004F5E9D"/>
    <w:rsid w:val="005043C0"/>
    <w:rsid w:val="005049C5"/>
    <w:rsid w:val="005053DB"/>
    <w:rsid w:val="00506722"/>
    <w:rsid w:val="00511540"/>
    <w:rsid w:val="00514EEF"/>
    <w:rsid w:val="005153F3"/>
    <w:rsid w:val="00515B02"/>
    <w:rsid w:val="00517336"/>
    <w:rsid w:val="00521DDF"/>
    <w:rsid w:val="00522286"/>
    <w:rsid w:val="00524307"/>
    <w:rsid w:val="00526E39"/>
    <w:rsid w:val="005306EC"/>
    <w:rsid w:val="005314F6"/>
    <w:rsid w:val="00531C11"/>
    <w:rsid w:val="00534B01"/>
    <w:rsid w:val="00535889"/>
    <w:rsid w:val="00540322"/>
    <w:rsid w:val="00546B24"/>
    <w:rsid w:val="00552BEB"/>
    <w:rsid w:val="00553ABB"/>
    <w:rsid w:val="00555B82"/>
    <w:rsid w:val="005564D4"/>
    <w:rsid w:val="005567D3"/>
    <w:rsid w:val="005574CE"/>
    <w:rsid w:val="005576C7"/>
    <w:rsid w:val="00557EC0"/>
    <w:rsid w:val="005608D3"/>
    <w:rsid w:val="00561D17"/>
    <w:rsid w:val="00562509"/>
    <w:rsid w:val="00566E9D"/>
    <w:rsid w:val="00572488"/>
    <w:rsid w:val="005729E1"/>
    <w:rsid w:val="00572E93"/>
    <w:rsid w:val="00574866"/>
    <w:rsid w:val="00576BF4"/>
    <w:rsid w:val="00582DA8"/>
    <w:rsid w:val="00583630"/>
    <w:rsid w:val="0058641D"/>
    <w:rsid w:val="005878BA"/>
    <w:rsid w:val="005904E7"/>
    <w:rsid w:val="00591049"/>
    <w:rsid w:val="00591B0B"/>
    <w:rsid w:val="00592A52"/>
    <w:rsid w:val="005946DE"/>
    <w:rsid w:val="005A1817"/>
    <w:rsid w:val="005A287B"/>
    <w:rsid w:val="005A59EB"/>
    <w:rsid w:val="005B0FFA"/>
    <w:rsid w:val="005B1FE5"/>
    <w:rsid w:val="005B3216"/>
    <w:rsid w:val="005B57DD"/>
    <w:rsid w:val="005B7DCD"/>
    <w:rsid w:val="005C0D19"/>
    <w:rsid w:val="005C1ABC"/>
    <w:rsid w:val="005C4CE4"/>
    <w:rsid w:val="005C62F9"/>
    <w:rsid w:val="005C6D00"/>
    <w:rsid w:val="005D03F4"/>
    <w:rsid w:val="005D2F63"/>
    <w:rsid w:val="005E0CFE"/>
    <w:rsid w:val="005E51C0"/>
    <w:rsid w:val="005E6458"/>
    <w:rsid w:val="005E6D53"/>
    <w:rsid w:val="005F3255"/>
    <w:rsid w:val="005F415D"/>
    <w:rsid w:val="005F5F77"/>
    <w:rsid w:val="005F66E4"/>
    <w:rsid w:val="005F672A"/>
    <w:rsid w:val="005F7C62"/>
    <w:rsid w:val="005F7FCF"/>
    <w:rsid w:val="006016C4"/>
    <w:rsid w:val="00604369"/>
    <w:rsid w:val="00607778"/>
    <w:rsid w:val="00610546"/>
    <w:rsid w:val="00613AFB"/>
    <w:rsid w:val="006141BF"/>
    <w:rsid w:val="006143FA"/>
    <w:rsid w:val="00615359"/>
    <w:rsid w:val="006154DB"/>
    <w:rsid w:val="006156E2"/>
    <w:rsid w:val="00615E4C"/>
    <w:rsid w:val="00616266"/>
    <w:rsid w:val="00617F90"/>
    <w:rsid w:val="00625B3E"/>
    <w:rsid w:val="00625FD9"/>
    <w:rsid w:val="00631C07"/>
    <w:rsid w:val="0063276A"/>
    <w:rsid w:val="00633FCB"/>
    <w:rsid w:val="00635136"/>
    <w:rsid w:val="00640D00"/>
    <w:rsid w:val="006414F2"/>
    <w:rsid w:val="00646A52"/>
    <w:rsid w:val="006500AD"/>
    <w:rsid w:val="00650D78"/>
    <w:rsid w:val="00653642"/>
    <w:rsid w:val="0065582D"/>
    <w:rsid w:val="00655C7E"/>
    <w:rsid w:val="0065689A"/>
    <w:rsid w:val="006575E9"/>
    <w:rsid w:val="00657D23"/>
    <w:rsid w:val="00660B05"/>
    <w:rsid w:val="00661B5C"/>
    <w:rsid w:val="006637F8"/>
    <w:rsid w:val="00664FBA"/>
    <w:rsid w:val="006666B8"/>
    <w:rsid w:val="0066686D"/>
    <w:rsid w:val="00666E20"/>
    <w:rsid w:val="00670758"/>
    <w:rsid w:val="006718ED"/>
    <w:rsid w:val="00674F62"/>
    <w:rsid w:val="00682F51"/>
    <w:rsid w:val="00683CB0"/>
    <w:rsid w:val="00685868"/>
    <w:rsid w:val="0068587B"/>
    <w:rsid w:val="006870B6"/>
    <w:rsid w:val="00687EE7"/>
    <w:rsid w:val="00693296"/>
    <w:rsid w:val="006960A1"/>
    <w:rsid w:val="00696146"/>
    <w:rsid w:val="00696783"/>
    <w:rsid w:val="00697182"/>
    <w:rsid w:val="006A12B0"/>
    <w:rsid w:val="006A1D2A"/>
    <w:rsid w:val="006A1E55"/>
    <w:rsid w:val="006A1EB0"/>
    <w:rsid w:val="006A40CD"/>
    <w:rsid w:val="006A4191"/>
    <w:rsid w:val="006A45C1"/>
    <w:rsid w:val="006A54F3"/>
    <w:rsid w:val="006A5AD6"/>
    <w:rsid w:val="006B0360"/>
    <w:rsid w:val="006B2D45"/>
    <w:rsid w:val="006B2EEF"/>
    <w:rsid w:val="006B579E"/>
    <w:rsid w:val="006B6F87"/>
    <w:rsid w:val="006B75D0"/>
    <w:rsid w:val="006C1D44"/>
    <w:rsid w:val="006C2774"/>
    <w:rsid w:val="006C28EB"/>
    <w:rsid w:val="006C4570"/>
    <w:rsid w:val="006C6355"/>
    <w:rsid w:val="006C64D2"/>
    <w:rsid w:val="006C6B61"/>
    <w:rsid w:val="006C7AB6"/>
    <w:rsid w:val="006C7FC0"/>
    <w:rsid w:val="006D24A4"/>
    <w:rsid w:val="006D282E"/>
    <w:rsid w:val="006D341A"/>
    <w:rsid w:val="006D4974"/>
    <w:rsid w:val="006D4A26"/>
    <w:rsid w:val="006D6D3C"/>
    <w:rsid w:val="006E175A"/>
    <w:rsid w:val="006E62E1"/>
    <w:rsid w:val="006E679E"/>
    <w:rsid w:val="006E6A22"/>
    <w:rsid w:val="006F1587"/>
    <w:rsid w:val="006F20D8"/>
    <w:rsid w:val="006F2164"/>
    <w:rsid w:val="006F2E48"/>
    <w:rsid w:val="006F34C1"/>
    <w:rsid w:val="006F442D"/>
    <w:rsid w:val="006F4C47"/>
    <w:rsid w:val="006F5E4B"/>
    <w:rsid w:val="006F642C"/>
    <w:rsid w:val="007014F5"/>
    <w:rsid w:val="007028CE"/>
    <w:rsid w:val="00702A1C"/>
    <w:rsid w:val="007031ED"/>
    <w:rsid w:val="00704304"/>
    <w:rsid w:val="0070432D"/>
    <w:rsid w:val="00704E83"/>
    <w:rsid w:val="00705FCC"/>
    <w:rsid w:val="0070751A"/>
    <w:rsid w:val="00710E44"/>
    <w:rsid w:val="00710EE8"/>
    <w:rsid w:val="00711F67"/>
    <w:rsid w:val="0071248D"/>
    <w:rsid w:val="0071286F"/>
    <w:rsid w:val="007132C5"/>
    <w:rsid w:val="007148D4"/>
    <w:rsid w:val="00716D70"/>
    <w:rsid w:val="00722CDB"/>
    <w:rsid w:val="007233B2"/>
    <w:rsid w:val="00723CAD"/>
    <w:rsid w:val="00725398"/>
    <w:rsid w:val="00725A43"/>
    <w:rsid w:val="00726C39"/>
    <w:rsid w:val="00727A8C"/>
    <w:rsid w:val="0073033E"/>
    <w:rsid w:val="00730C72"/>
    <w:rsid w:val="00732014"/>
    <w:rsid w:val="0073208A"/>
    <w:rsid w:val="0073208E"/>
    <w:rsid w:val="00732946"/>
    <w:rsid w:val="007349A9"/>
    <w:rsid w:val="00734FDE"/>
    <w:rsid w:val="00735458"/>
    <w:rsid w:val="007414F7"/>
    <w:rsid w:val="00743F96"/>
    <w:rsid w:val="0074451F"/>
    <w:rsid w:val="0074483E"/>
    <w:rsid w:val="00746F6B"/>
    <w:rsid w:val="00747D16"/>
    <w:rsid w:val="007508A0"/>
    <w:rsid w:val="0075206D"/>
    <w:rsid w:val="007534D7"/>
    <w:rsid w:val="00753F52"/>
    <w:rsid w:val="0075442B"/>
    <w:rsid w:val="00755534"/>
    <w:rsid w:val="00755965"/>
    <w:rsid w:val="007603FD"/>
    <w:rsid w:val="00762087"/>
    <w:rsid w:val="00764441"/>
    <w:rsid w:val="00764E5E"/>
    <w:rsid w:val="00765C80"/>
    <w:rsid w:val="007679D6"/>
    <w:rsid w:val="00770639"/>
    <w:rsid w:val="0077124C"/>
    <w:rsid w:val="007725A9"/>
    <w:rsid w:val="007734E8"/>
    <w:rsid w:val="00777AB5"/>
    <w:rsid w:val="00777F80"/>
    <w:rsid w:val="00782197"/>
    <w:rsid w:val="00782272"/>
    <w:rsid w:val="00784F10"/>
    <w:rsid w:val="007858DA"/>
    <w:rsid w:val="00786152"/>
    <w:rsid w:val="00786B98"/>
    <w:rsid w:val="00786EFC"/>
    <w:rsid w:val="007924B8"/>
    <w:rsid w:val="00792AD7"/>
    <w:rsid w:val="00794CF2"/>
    <w:rsid w:val="00794EBF"/>
    <w:rsid w:val="007967A1"/>
    <w:rsid w:val="007A0EC6"/>
    <w:rsid w:val="007A3398"/>
    <w:rsid w:val="007A43DE"/>
    <w:rsid w:val="007A4D1D"/>
    <w:rsid w:val="007A4F22"/>
    <w:rsid w:val="007A6470"/>
    <w:rsid w:val="007B35B3"/>
    <w:rsid w:val="007B4F5C"/>
    <w:rsid w:val="007B5257"/>
    <w:rsid w:val="007B60FC"/>
    <w:rsid w:val="007C1A92"/>
    <w:rsid w:val="007C40F6"/>
    <w:rsid w:val="007C44E6"/>
    <w:rsid w:val="007C5262"/>
    <w:rsid w:val="007C5CCD"/>
    <w:rsid w:val="007C72B0"/>
    <w:rsid w:val="007D4294"/>
    <w:rsid w:val="007D743C"/>
    <w:rsid w:val="007D7E8C"/>
    <w:rsid w:val="007E0088"/>
    <w:rsid w:val="007E1582"/>
    <w:rsid w:val="007E5084"/>
    <w:rsid w:val="007E6FEB"/>
    <w:rsid w:val="007F0078"/>
    <w:rsid w:val="007F096B"/>
    <w:rsid w:val="007F31B2"/>
    <w:rsid w:val="007F4D10"/>
    <w:rsid w:val="007F61B6"/>
    <w:rsid w:val="007F6A3F"/>
    <w:rsid w:val="007F7F49"/>
    <w:rsid w:val="00804548"/>
    <w:rsid w:val="00806788"/>
    <w:rsid w:val="00810D73"/>
    <w:rsid w:val="00812F64"/>
    <w:rsid w:val="00814F6E"/>
    <w:rsid w:val="008154E5"/>
    <w:rsid w:val="008157FD"/>
    <w:rsid w:val="00816FEF"/>
    <w:rsid w:val="00820EF7"/>
    <w:rsid w:val="008239B6"/>
    <w:rsid w:val="00823F2D"/>
    <w:rsid w:val="00826F4C"/>
    <w:rsid w:val="00827119"/>
    <w:rsid w:val="00827A84"/>
    <w:rsid w:val="0083450F"/>
    <w:rsid w:val="008346CA"/>
    <w:rsid w:val="00834C62"/>
    <w:rsid w:val="008401AC"/>
    <w:rsid w:val="00840F59"/>
    <w:rsid w:val="008503B0"/>
    <w:rsid w:val="008558E6"/>
    <w:rsid w:val="0085622C"/>
    <w:rsid w:val="0085681E"/>
    <w:rsid w:val="008577C4"/>
    <w:rsid w:val="00861741"/>
    <w:rsid w:val="008630BF"/>
    <w:rsid w:val="0086560C"/>
    <w:rsid w:val="00866B85"/>
    <w:rsid w:val="00867A91"/>
    <w:rsid w:val="008703AF"/>
    <w:rsid w:val="00870634"/>
    <w:rsid w:val="00873819"/>
    <w:rsid w:val="008745E0"/>
    <w:rsid w:val="00877342"/>
    <w:rsid w:val="008813A2"/>
    <w:rsid w:val="00881C33"/>
    <w:rsid w:val="00883E34"/>
    <w:rsid w:val="00883F49"/>
    <w:rsid w:val="00884512"/>
    <w:rsid w:val="00887271"/>
    <w:rsid w:val="00890FEC"/>
    <w:rsid w:val="00892C2D"/>
    <w:rsid w:val="00892E3F"/>
    <w:rsid w:val="008936F6"/>
    <w:rsid w:val="00896808"/>
    <w:rsid w:val="00897609"/>
    <w:rsid w:val="00897E21"/>
    <w:rsid w:val="00897F5C"/>
    <w:rsid w:val="008A032B"/>
    <w:rsid w:val="008A4738"/>
    <w:rsid w:val="008A4F91"/>
    <w:rsid w:val="008A5B2A"/>
    <w:rsid w:val="008A5DC7"/>
    <w:rsid w:val="008B0267"/>
    <w:rsid w:val="008B0E4F"/>
    <w:rsid w:val="008B225B"/>
    <w:rsid w:val="008B503E"/>
    <w:rsid w:val="008C369A"/>
    <w:rsid w:val="008C5F22"/>
    <w:rsid w:val="008C70A4"/>
    <w:rsid w:val="008D009F"/>
    <w:rsid w:val="008D3305"/>
    <w:rsid w:val="008D4C3C"/>
    <w:rsid w:val="008D5594"/>
    <w:rsid w:val="008D5935"/>
    <w:rsid w:val="008E124B"/>
    <w:rsid w:val="008E28BD"/>
    <w:rsid w:val="008E6D6C"/>
    <w:rsid w:val="008F088E"/>
    <w:rsid w:val="008F1328"/>
    <w:rsid w:val="008F2D70"/>
    <w:rsid w:val="008F69DA"/>
    <w:rsid w:val="008F6D1C"/>
    <w:rsid w:val="00900F39"/>
    <w:rsid w:val="009024E3"/>
    <w:rsid w:val="00902C4E"/>
    <w:rsid w:val="009038DF"/>
    <w:rsid w:val="0090577B"/>
    <w:rsid w:val="0090686F"/>
    <w:rsid w:val="00912571"/>
    <w:rsid w:val="009129A6"/>
    <w:rsid w:val="00913C18"/>
    <w:rsid w:val="00914EA8"/>
    <w:rsid w:val="0091681A"/>
    <w:rsid w:val="00917987"/>
    <w:rsid w:val="00922341"/>
    <w:rsid w:val="00923D5A"/>
    <w:rsid w:val="009242F7"/>
    <w:rsid w:val="009244A5"/>
    <w:rsid w:val="0092660D"/>
    <w:rsid w:val="009279BF"/>
    <w:rsid w:val="00932564"/>
    <w:rsid w:val="0093476B"/>
    <w:rsid w:val="00934F36"/>
    <w:rsid w:val="0093555C"/>
    <w:rsid w:val="00936F14"/>
    <w:rsid w:val="00937D80"/>
    <w:rsid w:val="00941A7C"/>
    <w:rsid w:val="00943B2C"/>
    <w:rsid w:val="00944800"/>
    <w:rsid w:val="00950D4D"/>
    <w:rsid w:val="00951734"/>
    <w:rsid w:val="00953E39"/>
    <w:rsid w:val="00954502"/>
    <w:rsid w:val="0095481A"/>
    <w:rsid w:val="00955DB4"/>
    <w:rsid w:val="00960595"/>
    <w:rsid w:val="00960844"/>
    <w:rsid w:val="009623AA"/>
    <w:rsid w:val="0096524D"/>
    <w:rsid w:val="009655D4"/>
    <w:rsid w:val="00974906"/>
    <w:rsid w:val="00974AC5"/>
    <w:rsid w:val="00976859"/>
    <w:rsid w:val="009779EE"/>
    <w:rsid w:val="00977C3F"/>
    <w:rsid w:val="00981A5B"/>
    <w:rsid w:val="00982546"/>
    <w:rsid w:val="00984DD0"/>
    <w:rsid w:val="00985625"/>
    <w:rsid w:val="00987E21"/>
    <w:rsid w:val="009949AB"/>
    <w:rsid w:val="00997DAD"/>
    <w:rsid w:val="009A22BC"/>
    <w:rsid w:val="009A48CC"/>
    <w:rsid w:val="009B4889"/>
    <w:rsid w:val="009C3A37"/>
    <w:rsid w:val="009C48DE"/>
    <w:rsid w:val="009C493C"/>
    <w:rsid w:val="009C5967"/>
    <w:rsid w:val="009D033B"/>
    <w:rsid w:val="009D043D"/>
    <w:rsid w:val="009D0B64"/>
    <w:rsid w:val="009D303B"/>
    <w:rsid w:val="009D34D8"/>
    <w:rsid w:val="009D3631"/>
    <w:rsid w:val="009D4E79"/>
    <w:rsid w:val="009D5054"/>
    <w:rsid w:val="009D5289"/>
    <w:rsid w:val="009D6E12"/>
    <w:rsid w:val="009D7675"/>
    <w:rsid w:val="009E0381"/>
    <w:rsid w:val="009E0C83"/>
    <w:rsid w:val="009E32CB"/>
    <w:rsid w:val="009F212B"/>
    <w:rsid w:val="009F6B8B"/>
    <w:rsid w:val="009F7803"/>
    <w:rsid w:val="00A019EF"/>
    <w:rsid w:val="00A0288C"/>
    <w:rsid w:val="00A02EDA"/>
    <w:rsid w:val="00A03350"/>
    <w:rsid w:val="00A0488D"/>
    <w:rsid w:val="00A04B57"/>
    <w:rsid w:val="00A0516F"/>
    <w:rsid w:val="00A05321"/>
    <w:rsid w:val="00A07A62"/>
    <w:rsid w:val="00A15D50"/>
    <w:rsid w:val="00A167E9"/>
    <w:rsid w:val="00A20F4C"/>
    <w:rsid w:val="00A21528"/>
    <w:rsid w:val="00A22478"/>
    <w:rsid w:val="00A2313C"/>
    <w:rsid w:val="00A23D53"/>
    <w:rsid w:val="00A2434C"/>
    <w:rsid w:val="00A25D66"/>
    <w:rsid w:val="00A270A8"/>
    <w:rsid w:val="00A30EB2"/>
    <w:rsid w:val="00A31423"/>
    <w:rsid w:val="00A314CB"/>
    <w:rsid w:val="00A3197D"/>
    <w:rsid w:val="00A33079"/>
    <w:rsid w:val="00A3379C"/>
    <w:rsid w:val="00A34C9E"/>
    <w:rsid w:val="00A351A9"/>
    <w:rsid w:val="00A36D60"/>
    <w:rsid w:val="00A41A60"/>
    <w:rsid w:val="00A4414E"/>
    <w:rsid w:val="00A4617A"/>
    <w:rsid w:val="00A46DCF"/>
    <w:rsid w:val="00A52C26"/>
    <w:rsid w:val="00A534AB"/>
    <w:rsid w:val="00A539B4"/>
    <w:rsid w:val="00A545B6"/>
    <w:rsid w:val="00A5518E"/>
    <w:rsid w:val="00A563BE"/>
    <w:rsid w:val="00A61D8C"/>
    <w:rsid w:val="00A63898"/>
    <w:rsid w:val="00A651A8"/>
    <w:rsid w:val="00A670F7"/>
    <w:rsid w:val="00A678FB"/>
    <w:rsid w:val="00A70D1A"/>
    <w:rsid w:val="00A722E5"/>
    <w:rsid w:val="00A764A0"/>
    <w:rsid w:val="00A779EE"/>
    <w:rsid w:val="00A80680"/>
    <w:rsid w:val="00A81AB1"/>
    <w:rsid w:val="00A8327A"/>
    <w:rsid w:val="00A83527"/>
    <w:rsid w:val="00A83798"/>
    <w:rsid w:val="00A844E8"/>
    <w:rsid w:val="00A84939"/>
    <w:rsid w:val="00A84C8C"/>
    <w:rsid w:val="00A86237"/>
    <w:rsid w:val="00A86353"/>
    <w:rsid w:val="00A91570"/>
    <w:rsid w:val="00A93D89"/>
    <w:rsid w:val="00A96198"/>
    <w:rsid w:val="00AA07DB"/>
    <w:rsid w:val="00AA184B"/>
    <w:rsid w:val="00AA212B"/>
    <w:rsid w:val="00AA3EF9"/>
    <w:rsid w:val="00AA5AFD"/>
    <w:rsid w:val="00AA7835"/>
    <w:rsid w:val="00AB4C0D"/>
    <w:rsid w:val="00AC09BC"/>
    <w:rsid w:val="00AC1514"/>
    <w:rsid w:val="00AC57E3"/>
    <w:rsid w:val="00AC5A4A"/>
    <w:rsid w:val="00AC79CB"/>
    <w:rsid w:val="00AD2844"/>
    <w:rsid w:val="00AD3E28"/>
    <w:rsid w:val="00AD68B9"/>
    <w:rsid w:val="00AE170E"/>
    <w:rsid w:val="00AE5B22"/>
    <w:rsid w:val="00AF19BB"/>
    <w:rsid w:val="00AF37D1"/>
    <w:rsid w:val="00AF3C20"/>
    <w:rsid w:val="00AF4491"/>
    <w:rsid w:val="00B011D3"/>
    <w:rsid w:val="00B02997"/>
    <w:rsid w:val="00B02F56"/>
    <w:rsid w:val="00B05220"/>
    <w:rsid w:val="00B052CF"/>
    <w:rsid w:val="00B06FAA"/>
    <w:rsid w:val="00B06FE5"/>
    <w:rsid w:val="00B07154"/>
    <w:rsid w:val="00B07C2D"/>
    <w:rsid w:val="00B10BB9"/>
    <w:rsid w:val="00B13001"/>
    <w:rsid w:val="00B13407"/>
    <w:rsid w:val="00B137F9"/>
    <w:rsid w:val="00B15894"/>
    <w:rsid w:val="00B2055A"/>
    <w:rsid w:val="00B23139"/>
    <w:rsid w:val="00B26B1F"/>
    <w:rsid w:val="00B2787D"/>
    <w:rsid w:val="00B31679"/>
    <w:rsid w:val="00B3167D"/>
    <w:rsid w:val="00B36526"/>
    <w:rsid w:val="00B40F4A"/>
    <w:rsid w:val="00B42072"/>
    <w:rsid w:val="00B42F17"/>
    <w:rsid w:val="00B42F36"/>
    <w:rsid w:val="00B43A16"/>
    <w:rsid w:val="00B45F84"/>
    <w:rsid w:val="00B461CE"/>
    <w:rsid w:val="00B4697C"/>
    <w:rsid w:val="00B46BDC"/>
    <w:rsid w:val="00B46FB4"/>
    <w:rsid w:val="00B50D84"/>
    <w:rsid w:val="00B52B0C"/>
    <w:rsid w:val="00B52C2E"/>
    <w:rsid w:val="00B538DD"/>
    <w:rsid w:val="00B55A42"/>
    <w:rsid w:val="00B572F7"/>
    <w:rsid w:val="00B606B4"/>
    <w:rsid w:val="00B614A6"/>
    <w:rsid w:val="00B63988"/>
    <w:rsid w:val="00B6544C"/>
    <w:rsid w:val="00B74FCF"/>
    <w:rsid w:val="00B7516E"/>
    <w:rsid w:val="00B84DB9"/>
    <w:rsid w:val="00B86AFE"/>
    <w:rsid w:val="00B91B0D"/>
    <w:rsid w:val="00B91BF3"/>
    <w:rsid w:val="00B92DC0"/>
    <w:rsid w:val="00B9500C"/>
    <w:rsid w:val="00BA21C9"/>
    <w:rsid w:val="00BA2461"/>
    <w:rsid w:val="00BA448C"/>
    <w:rsid w:val="00BA4C5F"/>
    <w:rsid w:val="00BA54A5"/>
    <w:rsid w:val="00BA56FD"/>
    <w:rsid w:val="00BA6BFA"/>
    <w:rsid w:val="00BA6F9D"/>
    <w:rsid w:val="00BB3FA4"/>
    <w:rsid w:val="00BB5DC0"/>
    <w:rsid w:val="00BB69BF"/>
    <w:rsid w:val="00BC037D"/>
    <w:rsid w:val="00BC1F5E"/>
    <w:rsid w:val="00BC4C49"/>
    <w:rsid w:val="00BC4F82"/>
    <w:rsid w:val="00BD19CA"/>
    <w:rsid w:val="00BD2EF9"/>
    <w:rsid w:val="00BD6DCF"/>
    <w:rsid w:val="00BE0B06"/>
    <w:rsid w:val="00BE3CEC"/>
    <w:rsid w:val="00BE4178"/>
    <w:rsid w:val="00BE63FC"/>
    <w:rsid w:val="00BE6D76"/>
    <w:rsid w:val="00BE73C9"/>
    <w:rsid w:val="00BF021A"/>
    <w:rsid w:val="00BF10CD"/>
    <w:rsid w:val="00BF3329"/>
    <w:rsid w:val="00BF4186"/>
    <w:rsid w:val="00C011D5"/>
    <w:rsid w:val="00C024B6"/>
    <w:rsid w:val="00C03228"/>
    <w:rsid w:val="00C10345"/>
    <w:rsid w:val="00C13690"/>
    <w:rsid w:val="00C15A4B"/>
    <w:rsid w:val="00C161B9"/>
    <w:rsid w:val="00C16346"/>
    <w:rsid w:val="00C166C1"/>
    <w:rsid w:val="00C21DC1"/>
    <w:rsid w:val="00C240BE"/>
    <w:rsid w:val="00C243AD"/>
    <w:rsid w:val="00C31057"/>
    <w:rsid w:val="00C34509"/>
    <w:rsid w:val="00C358ED"/>
    <w:rsid w:val="00C36F42"/>
    <w:rsid w:val="00C37656"/>
    <w:rsid w:val="00C422D9"/>
    <w:rsid w:val="00C4526E"/>
    <w:rsid w:val="00C45611"/>
    <w:rsid w:val="00C47753"/>
    <w:rsid w:val="00C500FF"/>
    <w:rsid w:val="00C50297"/>
    <w:rsid w:val="00C50607"/>
    <w:rsid w:val="00C5118A"/>
    <w:rsid w:val="00C517BF"/>
    <w:rsid w:val="00C5231E"/>
    <w:rsid w:val="00C52FB7"/>
    <w:rsid w:val="00C57358"/>
    <w:rsid w:val="00C57676"/>
    <w:rsid w:val="00C57B32"/>
    <w:rsid w:val="00C6075B"/>
    <w:rsid w:val="00C6255A"/>
    <w:rsid w:val="00C64DB9"/>
    <w:rsid w:val="00C650BF"/>
    <w:rsid w:val="00C70F1B"/>
    <w:rsid w:val="00C7199A"/>
    <w:rsid w:val="00C73F0D"/>
    <w:rsid w:val="00C7473C"/>
    <w:rsid w:val="00C74BCE"/>
    <w:rsid w:val="00C7584E"/>
    <w:rsid w:val="00C778AE"/>
    <w:rsid w:val="00C77920"/>
    <w:rsid w:val="00C77ABB"/>
    <w:rsid w:val="00C77BD5"/>
    <w:rsid w:val="00C81E24"/>
    <w:rsid w:val="00C82440"/>
    <w:rsid w:val="00C83110"/>
    <w:rsid w:val="00C847CC"/>
    <w:rsid w:val="00C857A5"/>
    <w:rsid w:val="00C86AEA"/>
    <w:rsid w:val="00C8715E"/>
    <w:rsid w:val="00C90E9F"/>
    <w:rsid w:val="00C94999"/>
    <w:rsid w:val="00C94B0F"/>
    <w:rsid w:val="00C957B6"/>
    <w:rsid w:val="00C965F1"/>
    <w:rsid w:val="00CA2944"/>
    <w:rsid w:val="00CA3742"/>
    <w:rsid w:val="00CB213C"/>
    <w:rsid w:val="00CB4F36"/>
    <w:rsid w:val="00CB5839"/>
    <w:rsid w:val="00CC1BA0"/>
    <w:rsid w:val="00CC1F14"/>
    <w:rsid w:val="00CC2C8E"/>
    <w:rsid w:val="00CC2CC3"/>
    <w:rsid w:val="00CC3074"/>
    <w:rsid w:val="00CC3417"/>
    <w:rsid w:val="00CC3491"/>
    <w:rsid w:val="00CC3851"/>
    <w:rsid w:val="00CC39BE"/>
    <w:rsid w:val="00CC4A24"/>
    <w:rsid w:val="00CC5300"/>
    <w:rsid w:val="00CD02CE"/>
    <w:rsid w:val="00CD1C46"/>
    <w:rsid w:val="00CD3B71"/>
    <w:rsid w:val="00CD609C"/>
    <w:rsid w:val="00CE0F97"/>
    <w:rsid w:val="00CE15BD"/>
    <w:rsid w:val="00CE4C14"/>
    <w:rsid w:val="00CF5460"/>
    <w:rsid w:val="00CF596B"/>
    <w:rsid w:val="00CF597C"/>
    <w:rsid w:val="00CF5D28"/>
    <w:rsid w:val="00CF7260"/>
    <w:rsid w:val="00D036F9"/>
    <w:rsid w:val="00D0419F"/>
    <w:rsid w:val="00D05EEA"/>
    <w:rsid w:val="00D06063"/>
    <w:rsid w:val="00D11EC0"/>
    <w:rsid w:val="00D12507"/>
    <w:rsid w:val="00D134BF"/>
    <w:rsid w:val="00D13904"/>
    <w:rsid w:val="00D1410D"/>
    <w:rsid w:val="00D17D54"/>
    <w:rsid w:val="00D24CA0"/>
    <w:rsid w:val="00D273EA"/>
    <w:rsid w:val="00D352EB"/>
    <w:rsid w:val="00D35903"/>
    <w:rsid w:val="00D44AF3"/>
    <w:rsid w:val="00D460AC"/>
    <w:rsid w:val="00D46673"/>
    <w:rsid w:val="00D50990"/>
    <w:rsid w:val="00D51161"/>
    <w:rsid w:val="00D53C58"/>
    <w:rsid w:val="00D54A48"/>
    <w:rsid w:val="00D54D7A"/>
    <w:rsid w:val="00D564C5"/>
    <w:rsid w:val="00D604FC"/>
    <w:rsid w:val="00D618B7"/>
    <w:rsid w:val="00D62BA2"/>
    <w:rsid w:val="00D639CB"/>
    <w:rsid w:val="00D63F68"/>
    <w:rsid w:val="00D65565"/>
    <w:rsid w:val="00D66AE5"/>
    <w:rsid w:val="00D67B78"/>
    <w:rsid w:val="00D724C0"/>
    <w:rsid w:val="00D7294E"/>
    <w:rsid w:val="00D7479A"/>
    <w:rsid w:val="00D74D1A"/>
    <w:rsid w:val="00D80425"/>
    <w:rsid w:val="00D83624"/>
    <w:rsid w:val="00D84013"/>
    <w:rsid w:val="00D8578E"/>
    <w:rsid w:val="00D864B0"/>
    <w:rsid w:val="00D8675F"/>
    <w:rsid w:val="00D91A4F"/>
    <w:rsid w:val="00D91E4B"/>
    <w:rsid w:val="00D92F74"/>
    <w:rsid w:val="00D96CF1"/>
    <w:rsid w:val="00D97C1E"/>
    <w:rsid w:val="00D97F19"/>
    <w:rsid w:val="00DA0722"/>
    <w:rsid w:val="00DA18C3"/>
    <w:rsid w:val="00DA30FD"/>
    <w:rsid w:val="00DA352E"/>
    <w:rsid w:val="00DA38F0"/>
    <w:rsid w:val="00DA3B20"/>
    <w:rsid w:val="00DA4883"/>
    <w:rsid w:val="00DA5C05"/>
    <w:rsid w:val="00DA7442"/>
    <w:rsid w:val="00DB009C"/>
    <w:rsid w:val="00DB0300"/>
    <w:rsid w:val="00DB1B17"/>
    <w:rsid w:val="00DB3016"/>
    <w:rsid w:val="00DB7D5F"/>
    <w:rsid w:val="00DC2119"/>
    <w:rsid w:val="00DC2280"/>
    <w:rsid w:val="00DC3925"/>
    <w:rsid w:val="00DC72BD"/>
    <w:rsid w:val="00DD30C5"/>
    <w:rsid w:val="00DD5835"/>
    <w:rsid w:val="00DD7385"/>
    <w:rsid w:val="00DD74F9"/>
    <w:rsid w:val="00DE3FD5"/>
    <w:rsid w:val="00DE603D"/>
    <w:rsid w:val="00DE6488"/>
    <w:rsid w:val="00DF1303"/>
    <w:rsid w:val="00DF16BB"/>
    <w:rsid w:val="00DF1DD3"/>
    <w:rsid w:val="00DF3450"/>
    <w:rsid w:val="00DF3FE1"/>
    <w:rsid w:val="00DF42D9"/>
    <w:rsid w:val="00DF48E7"/>
    <w:rsid w:val="00DF5A11"/>
    <w:rsid w:val="00DF5F60"/>
    <w:rsid w:val="00E03A76"/>
    <w:rsid w:val="00E046F1"/>
    <w:rsid w:val="00E04E6F"/>
    <w:rsid w:val="00E103A4"/>
    <w:rsid w:val="00E11F83"/>
    <w:rsid w:val="00E12D87"/>
    <w:rsid w:val="00E136D6"/>
    <w:rsid w:val="00E150D6"/>
    <w:rsid w:val="00E151C4"/>
    <w:rsid w:val="00E1580A"/>
    <w:rsid w:val="00E16355"/>
    <w:rsid w:val="00E20ED7"/>
    <w:rsid w:val="00E215AB"/>
    <w:rsid w:val="00E24465"/>
    <w:rsid w:val="00E33266"/>
    <w:rsid w:val="00E3716B"/>
    <w:rsid w:val="00E3721B"/>
    <w:rsid w:val="00E40124"/>
    <w:rsid w:val="00E408D0"/>
    <w:rsid w:val="00E41BB5"/>
    <w:rsid w:val="00E425EC"/>
    <w:rsid w:val="00E42627"/>
    <w:rsid w:val="00E42A69"/>
    <w:rsid w:val="00E43EE9"/>
    <w:rsid w:val="00E46234"/>
    <w:rsid w:val="00E50523"/>
    <w:rsid w:val="00E509B3"/>
    <w:rsid w:val="00E5211B"/>
    <w:rsid w:val="00E55D8E"/>
    <w:rsid w:val="00E60AEE"/>
    <w:rsid w:val="00E61CD3"/>
    <w:rsid w:val="00E673FA"/>
    <w:rsid w:val="00E6785E"/>
    <w:rsid w:val="00E71E13"/>
    <w:rsid w:val="00E74589"/>
    <w:rsid w:val="00E7688B"/>
    <w:rsid w:val="00E77C49"/>
    <w:rsid w:val="00E801E2"/>
    <w:rsid w:val="00E832D8"/>
    <w:rsid w:val="00E864A2"/>
    <w:rsid w:val="00E87EAD"/>
    <w:rsid w:val="00E90145"/>
    <w:rsid w:val="00E91741"/>
    <w:rsid w:val="00E92BCC"/>
    <w:rsid w:val="00E93F7F"/>
    <w:rsid w:val="00E9639B"/>
    <w:rsid w:val="00EA30C8"/>
    <w:rsid w:val="00EB3751"/>
    <w:rsid w:val="00EB46B0"/>
    <w:rsid w:val="00EB49A4"/>
    <w:rsid w:val="00EB54AF"/>
    <w:rsid w:val="00EB7274"/>
    <w:rsid w:val="00EC01CD"/>
    <w:rsid w:val="00EC0361"/>
    <w:rsid w:val="00EC1DCD"/>
    <w:rsid w:val="00EC1E7E"/>
    <w:rsid w:val="00EC5E89"/>
    <w:rsid w:val="00ED09EA"/>
    <w:rsid w:val="00ED4025"/>
    <w:rsid w:val="00ED45E4"/>
    <w:rsid w:val="00ED4C86"/>
    <w:rsid w:val="00ED6083"/>
    <w:rsid w:val="00ED7172"/>
    <w:rsid w:val="00EE17EE"/>
    <w:rsid w:val="00EE1DD2"/>
    <w:rsid w:val="00EE3367"/>
    <w:rsid w:val="00EE5392"/>
    <w:rsid w:val="00EF0D9C"/>
    <w:rsid w:val="00EF1293"/>
    <w:rsid w:val="00EF38BB"/>
    <w:rsid w:val="00EF4982"/>
    <w:rsid w:val="00EF5A6E"/>
    <w:rsid w:val="00EF78E2"/>
    <w:rsid w:val="00F052DF"/>
    <w:rsid w:val="00F07244"/>
    <w:rsid w:val="00F13610"/>
    <w:rsid w:val="00F13675"/>
    <w:rsid w:val="00F13BEF"/>
    <w:rsid w:val="00F1602B"/>
    <w:rsid w:val="00F172F9"/>
    <w:rsid w:val="00F2280E"/>
    <w:rsid w:val="00F22C93"/>
    <w:rsid w:val="00F230BE"/>
    <w:rsid w:val="00F263B2"/>
    <w:rsid w:val="00F26C0B"/>
    <w:rsid w:val="00F27DD0"/>
    <w:rsid w:val="00F36B77"/>
    <w:rsid w:val="00F37D01"/>
    <w:rsid w:val="00F418E1"/>
    <w:rsid w:val="00F4280B"/>
    <w:rsid w:val="00F45CB0"/>
    <w:rsid w:val="00F45ED2"/>
    <w:rsid w:val="00F46679"/>
    <w:rsid w:val="00F46F6F"/>
    <w:rsid w:val="00F47162"/>
    <w:rsid w:val="00F47B0F"/>
    <w:rsid w:val="00F5181C"/>
    <w:rsid w:val="00F51B6F"/>
    <w:rsid w:val="00F533D4"/>
    <w:rsid w:val="00F560C9"/>
    <w:rsid w:val="00F60487"/>
    <w:rsid w:val="00F609C3"/>
    <w:rsid w:val="00F61ADE"/>
    <w:rsid w:val="00F64CAB"/>
    <w:rsid w:val="00F64DDB"/>
    <w:rsid w:val="00F65CDD"/>
    <w:rsid w:val="00F65F11"/>
    <w:rsid w:val="00F661BA"/>
    <w:rsid w:val="00F701BC"/>
    <w:rsid w:val="00F70EBE"/>
    <w:rsid w:val="00F71981"/>
    <w:rsid w:val="00F72980"/>
    <w:rsid w:val="00F75632"/>
    <w:rsid w:val="00F76940"/>
    <w:rsid w:val="00F76EFD"/>
    <w:rsid w:val="00F76F8E"/>
    <w:rsid w:val="00F81D7C"/>
    <w:rsid w:val="00F8200F"/>
    <w:rsid w:val="00F8368E"/>
    <w:rsid w:val="00F9280C"/>
    <w:rsid w:val="00F943F7"/>
    <w:rsid w:val="00F946BE"/>
    <w:rsid w:val="00F95D4D"/>
    <w:rsid w:val="00F96170"/>
    <w:rsid w:val="00FA17A0"/>
    <w:rsid w:val="00FA1875"/>
    <w:rsid w:val="00FA2E2C"/>
    <w:rsid w:val="00FA4085"/>
    <w:rsid w:val="00FA427E"/>
    <w:rsid w:val="00FB0E02"/>
    <w:rsid w:val="00FB7493"/>
    <w:rsid w:val="00FB77CA"/>
    <w:rsid w:val="00FB77FB"/>
    <w:rsid w:val="00FB7F43"/>
    <w:rsid w:val="00FC336D"/>
    <w:rsid w:val="00FC34A8"/>
    <w:rsid w:val="00FC412E"/>
    <w:rsid w:val="00FC4F2B"/>
    <w:rsid w:val="00FC6956"/>
    <w:rsid w:val="00FC7467"/>
    <w:rsid w:val="00FD0F57"/>
    <w:rsid w:val="00FD58B5"/>
    <w:rsid w:val="00FD5FB5"/>
    <w:rsid w:val="00FD6B59"/>
    <w:rsid w:val="00FE0807"/>
    <w:rsid w:val="00FE1518"/>
    <w:rsid w:val="00FE179D"/>
    <w:rsid w:val="00FE1B34"/>
    <w:rsid w:val="00FE1C02"/>
    <w:rsid w:val="00FE2CE5"/>
    <w:rsid w:val="00FE4979"/>
    <w:rsid w:val="00FE7BE3"/>
    <w:rsid w:val="00FF0136"/>
    <w:rsid w:val="00FF171E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E2FB99-A540-4A7D-B3B4-6F83A828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5"/>
    <w:pPr>
      <w:bidi/>
    </w:pPr>
  </w:style>
  <w:style w:type="paragraph" w:styleId="1">
    <w:name w:val="heading 1"/>
    <w:basedOn w:val="a"/>
    <w:next w:val="a"/>
    <w:link w:val="10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4">
    <w:name w:val="heading 4"/>
    <w:basedOn w:val="a"/>
    <w:next w:val="a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"/>
    <w:next w:val="a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"/>
    <w:next w:val="a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72F9"/>
  </w:style>
  <w:style w:type="paragraph" w:styleId="a5">
    <w:name w:val="footer"/>
    <w:basedOn w:val="a"/>
    <w:link w:val="a6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List Paragraph"/>
    <w:basedOn w:val="a"/>
    <w:uiPriority w:val="34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8">
    <w:name w:val="Placeholder Text"/>
    <w:basedOn w:val="a0"/>
    <w:uiPriority w:val="99"/>
    <w:semiHidden/>
    <w:rsid w:val="00A46DCF"/>
    <w:rPr>
      <w:color w:val="808080"/>
    </w:rPr>
  </w:style>
  <w:style w:type="character" w:customStyle="1" w:styleId="10">
    <w:name w:val="כותרת 1 תו"/>
    <w:basedOn w:val="a0"/>
    <w:link w:val="1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a9">
    <w:name w:val="Body Text Indent"/>
    <w:basedOn w:val="a"/>
    <w:link w:val="aa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b">
    <w:name w:val="Table Grid"/>
    <w:basedOn w:val="a1"/>
    <w:uiPriority w:val="3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rsid w:val="00DA3B20"/>
    <w:rPr>
      <w:color w:val="0000FF"/>
      <w:u w:val="single"/>
    </w:rPr>
  </w:style>
  <w:style w:type="paragraph" w:styleId="ac">
    <w:name w:val="footnote text"/>
    <w:basedOn w:val="a"/>
    <w:link w:val="ad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d">
    <w:name w:val="טקסט הערת שוליים תו"/>
    <w:basedOn w:val="a0"/>
    <w:link w:val="ac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semiHidden/>
    <w:rsid w:val="00DA3B20"/>
    <w:rPr>
      <w:vertAlign w:val="superscript"/>
    </w:rPr>
  </w:style>
  <w:style w:type="paragraph" w:styleId="af">
    <w:name w:val="Body Text"/>
    <w:basedOn w:val="a"/>
    <w:link w:val="af0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0">
    <w:name w:val="גוף טקסט תו"/>
    <w:basedOn w:val="a0"/>
    <w:link w:val="af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">
    <w:name w:val="Body Text 2"/>
    <w:basedOn w:val="a"/>
    <w:link w:val="20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0">
    <w:name w:val="גוף טקסט 2 תו"/>
    <w:basedOn w:val="a0"/>
    <w:link w:val="2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0F5666"/>
    <w:rPr>
      <w:rFonts w:ascii="Arial" w:eastAsia="Times New Roman" w:hAnsi="Arial" w:cs="Arial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F95D4D"/>
    <w:rPr>
      <w:rFonts w:ascii="Tahoma" w:hAnsi="Tahoma" w:cs="Tahoma"/>
      <w:sz w:val="16"/>
      <w:szCs w:val="16"/>
    </w:rPr>
  </w:style>
  <w:style w:type="table" w:styleId="11">
    <w:name w:val="Plain Table 1"/>
    <w:basedOn w:val="a1"/>
    <w:uiPriority w:val="41"/>
    <w:rsid w:val="00C31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69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5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2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4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2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1F"/>
    <w:rsid w:val="00B22E45"/>
    <w:rsid w:val="00B8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32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89A0-EC94-42BE-853B-277CF523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611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</cp:lastModifiedBy>
  <cp:revision>13</cp:revision>
  <dcterms:created xsi:type="dcterms:W3CDTF">2014-11-02T12:13:00Z</dcterms:created>
  <dcterms:modified xsi:type="dcterms:W3CDTF">2014-11-02T12:53:00Z</dcterms:modified>
</cp:coreProperties>
</file>