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78" w:rsidRPr="00170712" w:rsidRDefault="00B84A22" w:rsidP="00170712">
      <w:pPr>
        <w:spacing w:line="360" w:lineRule="auto"/>
        <w:jc w:val="center"/>
        <w:rPr>
          <w:rFonts w:cs="David"/>
          <w:sz w:val="24"/>
          <w:szCs w:val="24"/>
          <w:rtl/>
        </w:rPr>
      </w:pPr>
      <w:r w:rsidRPr="00170712">
        <w:rPr>
          <w:rFonts w:cs="David" w:hint="cs"/>
          <w:b/>
          <w:bCs/>
          <w:sz w:val="24"/>
          <w:szCs w:val="24"/>
          <w:u w:val="single"/>
          <w:rtl/>
        </w:rPr>
        <w:t xml:space="preserve">תיאוריה </w:t>
      </w:r>
      <w:r w:rsidR="007B524F" w:rsidRPr="00170712">
        <w:rPr>
          <w:rFonts w:cs="David" w:hint="cs"/>
          <w:b/>
          <w:bCs/>
          <w:sz w:val="24"/>
          <w:szCs w:val="24"/>
          <w:u w:val="single"/>
          <w:rtl/>
        </w:rPr>
        <w:t xml:space="preserve">חשבונאית - </w:t>
      </w:r>
      <w:r w:rsidR="000E4EF4" w:rsidRPr="00170712">
        <w:rPr>
          <w:rFonts w:cs="David" w:hint="cs"/>
          <w:b/>
          <w:bCs/>
          <w:sz w:val="24"/>
          <w:szCs w:val="24"/>
          <w:u w:val="single"/>
          <w:rtl/>
        </w:rPr>
        <w:t xml:space="preserve">שיעור </w:t>
      </w:r>
      <w:r w:rsidR="006D5CC1" w:rsidRPr="00170712">
        <w:rPr>
          <w:rFonts w:cs="David" w:hint="cs"/>
          <w:b/>
          <w:bCs/>
          <w:sz w:val="24"/>
          <w:szCs w:val="24"/>
          <w:u w:val="single"/>
          <w:rtl/>
        </w:rPr>
        <w:t>5</w:t>
      </w:r>
    </w:p>
    <w:p w:rsidR="00170712" w:rsidRPr="00170712" w:rsidRDefault="00170712" w:rsidP="00170712">
      <w:pPr>
        <w:pStyle w:val="a7"/>
        <w:spacing w:line="360" w:lineRule="auto"/>
        <w:ind w:left="0"/>
        <w:jc w:val="both"/>
        <w:rPr>
          <w:rFonts w:cs="David"/>
          <w:sz w:val="24"/>
          <w:szCs w:val="24"/>
          <w:rtl/>
        </w:rPr>
      </w:pPr>
      <w:r w:rsidRPr="00170712">
        <w:rPr>
          <w:rFonts w:cs="David" w:hint="cs"/>
          <w:b/>
          <w:bCs/>
          <w:sz w:val="24"/>
          <w:szCs w:val="24"/>
          <w:u w:val="single"/>
          <w:rtl/>
        </w:rPr>
        <w:t xml:space="preserve">4.4 </w:t>
      </w:r>
      <w:r w:rsidRPr="00170712">
        <w:rPr>
          <w:rFonts w:cs="David" w:hint="cs"/>
          <w:b/>
          <w:bCs/>
          <w:sz w:val="24"/>
          <w:szCs w:val="24"/>
          <w:u w:val="single"/>
          <w:rtl/>
        </w:rPr>
        <w:t>הון עצמי</w:t>
      </w:r>
    </w:p>
    <w:p w:rsidR="00DB31BA" w:rsidRPr="00DB31BA" w:rsidRDefault="00170712" w:rsidP="00F241B9">
      <w:pPr>
        <w:pStyle w:val="a7"/>
        <w:spacing w:line="360" w:lineRule="auto"/>
        <w:ind w:left="0"/>
        <w:jc w:val="both"/>
        <w:rPr>
          <w:rFonts w:cs="David" w:hint="cs"/>
          <w:b/>
          <w:bCs/>
          <w:sz w:val="24"/>
          <w:szCs w:val="24"/>
        </w:rPr>
      </w:pPr>
      <w:r w:rsidRPr="00170712">
        <w:rPr>
          <w:rFonts w:cs="David" w:hint="cs"/>
          <w:sz w:val="24"/>
          <w:szCs w:val="24"/>
          <w:rtl/>
        </w:rPr>
        <w:t>המסגרת המושגית מגדירה את ההון העצמי בתור זכות השייר בנכסי החברה לאחר שמנכים את כל התחייבויותיה. למעשה זוהי הגדרה עקיפה. ההון הוא ה-</w:t>
      </w:r>
      <w:r w:rsidRPr="00170712">
        <w:rPr>
          <w:rFonts w:cs="David"/>
          <w:sz w:val="24"/>
          <w:szCs w:val="24"/>
        </w:rPr>
        <w:t>PN</w:t>
      </w:r>
      <w:r w:rsidRPr="00170712">
        <w:rPr>
          <w:rFonts w:cs="David" w:hint="cs"/>
          <w:sz w:val="24"/>
          <w:szCs w:val="24"/>
          <w:rtl/>
        </w:rPr>
        <w:t xml:space="preserve"> בין הנכסים להתחייבויות. אין הכרח שההון העצמי יהיה שווה לשווי ההוגן של החברה. כמו כן חשוב לשים לב ש-</w:t>
      </w:r>
      <w:r w:rsidRPr="00170712">
        <w:rPr>
          <w:rFonts w:cs="David"/>
          <w:sz w:val="24"/>
          <w:szCs w:val="24"/>
        </w:rPr>
        <w:t>IAS-32</w:t>
      </w:r>
      <w:r w:rsidRPr="00170712">
        <w:rPr>
          <w:rFonts w:cs="David" w:hint="cs"/>
          <w:sz w:val="24"/>
          <w:szCs w:val="24"/>
          <w:rtl/>
        </w:rPr>
        <w:t xml:space="preserve"> כולל קריטריונים נוספים שעוזרים לנו להחליט לגבי מכשירים פיננסיים האם הם חלק מההון העצמי. נראה שחלק מההגדרות של </w:t>
      </w:r>
      <w:r w:rsidRPr="00170712">
        <w:rPr>
          <w:rFonts w:cs="David"/>
          <w:sz w:val="24"/>
          <w:szCs w:val="24"/>
        </w:rPr>
        <w:t>IAS-32</w:t>
      </w:r>
      <w:r w:rsidRPr="00170712">
        <w:rPr>
          <w:rFonts w:cs="David" w:hint="cs"/>
          <w:sz w:val="24"/>
          <w:szCs w:val="24"/>
          <w:rtl/>
        </w:rPr>
        <w:t xml:space="preserve"> עלולות לסתור את הגדרת ההון העצמי שבמסגרת. כמובן ש-</w:t>
      </w:r>
      <w:r w:rsidRPr="00170712">
        <w:rPr>
          <w:rFonts w:cs="David"/>
          <w:sz w:val="24"/>
          <w:szCs w:val="24"/>
        </w:rPr>
        <w:t>IAS-32</w:t>
      </w:r>
      <w:r w:rsidRPr="00170712">
        <w:rPr>
          <w:rFonts w:cs="David" w:hint="cs"/>
          <w:sz w:val="24"/>
          <w:szCs w:val="24"/>
          <w:rtl/>
        </w:rPr>
        <w:t xml:space="preserve"> גובר. לדוגמא - נחשוב על כתב אופציה שהונפק על ידי החברה שניתן להמרה למניותיה תמורת תוספת מימוש לא קבועה (למשל, תוספת מימוש שלא במטבע הפעילות של החברה או תוספת מימוש שצמודה לאינדקס כלשהו כמו מחיר הזהב). כתב אופציה כאמור, הוא מכשיר התחייבותי כיוון שהוא לא מקיים את הגדרת ה-</w:t>
      </w:r>
      <w:r w:rsidRPr="00170712">
        <w:rPr>
          <w:rFonts w:cs="David"/>
          <w:sz w:val="24"/>
          <w:szCs w:val="24"/>
        </w:rPr>
        <w:t>fixed for fixed</w:t>
      </w:r>
      <w:r w:rsidRPr="00170712">
        <w:rPr>
          <w:rFonts w:cs="David" w:hint="cs"/>
          <w:sz w:val="24"/>
          <w:szCs w:val="24"/>
          <w:rtl/>
        </w:rPr>
        <w:t>. עם זאת, מנקודת המבט של המסגרת, הוא בוודאי לא עומד בהגדרה של התחייבות וזאת משום שלכל היותר החברה תקבל סכום מסוים של מזומן. בוודאי לא צפוי תזרים שלילי מהחברה החוצה. במקרה זה כמובן ש-</w:t>
      </w:r>
      <w:r w:rsidRPr="00170712">
        <w:rPr>
          <w:rFonts w:cs="David"/>
          <w:sz w:val="24"/>
          <w:szCs w:val="24"/>
        </w:rPr>
        <w:t>IAS-32</w:t>
      </w:r>
      <w:r w:rsidRPr="00170712">
        <w:rPr>
          <w:rFonts w:cs="David" w:hint="cs"/>
          <w:sz w:val="24"/>
          <w:szCs w:val="24"/>
          <w:rtl/>
        </w:rPr>
        <w:t xml:space="preserve"> גובר.</w:t>
      </w:r>
    </w:p>
    <w:p w:rsidR="00170712" w:rsidRPr="00170712" w:rsidRDefault="00DB31BA" w:rsidP="00F241B9">
      <w:pPr>
        <w:spacing w:line="360" w:lineRule="auto"/>
        <w:jc w:val="both"/>
        <w:rPr>
          <w:rFonts w:cs="David"/>
          <w:sz w:val="24"/>
          <w:szCs w:val="24"/>
          <w:rtl/>
        </w:rPr>
      </w:pPr>
      <w:r>
        <w:rPr>
          <w:rFonts w:cs="David" w:hint="cs"/>
          <w:sz w:val="24"/>
          <w:szCs w:val="24"/>
          <w:rtl/>
        </w:rPr>
        <w:t xml:space="preserve"> </w:t>
      </w:r>
      <w:r w:rsidR="00170712" w:rsidRPr="00170712">
        <w:rPr>
          <w:rFonts w:cs="David" w:hint="cs"/>
          <w:b/>
          <w:bCs/>
          <w:sz w:val="24"/>
          <w:szCs w:val="24"/>
          <w:u w:val="single"/>
          <w:rtl/>
        </w:rPr>
        <w:t xml:space="preserve">4.5 </w:t>
      </w:r>
      <w:r w:rsidR="00170712" w:rsidRPr="00170712">
        <w:rPr>
          <w:rFonts w:cs="David" w:hint="cs"/>
          <w:b/>
          <w:bCs/>
          <w:sz w:val="24"/>
          <w:szCs w:val="24"/>
          <w:u w:val="single"/>
          <w:rtl/>
        </w:rPr>
        <w:t>הכנסה</w:t>
      </w:r>
    </w:p>
    <w:p w:rsidR="00170712" w:rsidRPr="00170712" w:rsidRDefault="00170712" w:rsidP="00170712">
      <w:pPr>
        <w:pStyle w:val="a7"/>
        <w:spacing w:line="360" w:lineRule="auto"/>
        <w:ind w:left="0"/>
        <w:jc w:val="both"/>
        <w:rPr>
          <w:rFonts w:cs="David"/>
          <w:sz w:val="24"/>
          <w:szCs w:val="24"/>
          <w:rtl/>
        </w:rPr>
      </w:pPr>
      <w:r w:rsidRPr="00170712">
        <w:rPr>
          <w:rFonts w:cs="David" w:hint="cs"/>
          <w:b/>
          <w:bCs/>
          <w:sz w:val="24"/>
          <w:szCs w:val="24"/>
          <w:rtl/>
        </w:rPr>
        <w:t>סעיפים 4.25, 4.47</w:t>
      </w:r>
      <w:r w:rsidRPr="00170712">
        <w:rPr>
          <w:rFonts w:cs="David" w:hint="cs"/>
          <w:sz w:val="24"/>
          <w:szCs w:val="24"/>
          <w:rtl/>
        </w:rPr>
        <w:t xml:space="preserve"> מתייחסים להגדרה ולהכרה בהכנסה. אנו נלמד את נושא ההכנסות לעומק במסגרת </w:t>
      </w:r>
      <w:r w:rsidRPr="00170712">
        <w:rPr>
          <w:rFonts w:cs="David"/>
          <w:sz w:val="24"/>
          <w:szCs w:val="24"/>
        </w:rPr>
        <w:t>IAS-18</w:t>
      </w:r>
      <w:r w:rsidRPr="00170712">
        <w:rPr>
          <w:rFonts w:cs="David" w:hint="cs"/>
          <w:sz w:val="24"/>
          <w:szCs w:val="24"/>
          <w:rtl/>
        </w:rPr>
        <w:t xml:space="preserve"> ופרשנויות נוספות. המסגרת המושגית מגדירה הכנסה בתור גידול בהטבות הכלכליות בדרך של גידול בנכסים או קיטון בהתחייבויות (כלומר, גידול נטו בהון העצמי) ולמעט גידול בהון הנובע מהשקעת בעלים. הכנסות כוללות שני סוגים עיקריים:</w:t>
      </w:r>
    </w:p>
    <w:p w:rsidR="00170712" w:rsidRPr="00170712" w:rsidRDefault="00170712" w:rsidP="00170712">
      <w:pPr>
        <w:pStyle w:val="a7"/>
        <w:numPr>
          <w:ilvl w:val="0"/>
          <w:numId w:val="9"/>
        </w:numPr>
        <w:spacing w:after="0" w:line="360" w:lineRule="auto"/>
        <w:contextualSpacing w:val="0"/>
        <w:jc w:val="both"/>
        <w:rPr>
          <w:rFonts w:cs="David"/>
          <w:sz w:val="24"/>
          <w:szCs w:val="24"/>
          <w:rtl/>
        </w:rPr>
      </w:pPr>
      <w:r w:rsidRPr="00170712">
        <w:rPr>
          <w:rFonts w:cs="David" w:hint="cs"/>
          <w:sz w:val="24"/>
          <w:szCs w:val="24"/>
          <w:rtl/>
        </w:rPr>
        <w:t>הכנסות רגילות - הכנסות הנוצרות במהלך העסקים הרגיל (מכירות).</w:t>
      </w:r>
    </w:p>
    <w:p w:rsidR="00170712" w:rsidRPr="00170712" w:rsidRDefault="00170712" w:rsidP="00170712">
      <w:pPr>
        <w:pStyle w:val="a7"/>
        <w:numPr>
          <w:ilvl w:val="0"/>
          <w:numId w:val="9"/>
        </w:numPr>
        <w:spacing w:after="0" w:line="360" w:lineRule="auto"/>
        <w:contextualSpacing w:val="0"/>
        <w:jc w:val="both"/>
        <w:rPr>
          <w:rFonts w:cs="David"/>
          <w:sz w:val="24"/>
          <w:szCs w:val="24"/>
          <w:rtl/>
        </w:rPr>
      </w:pPr>
      <w:r w:rsidRPr="00170712">
        <w:rPr>
          <w:rFonts w:cs="David" w:hint="cs"/>
          <w:sz w:val="24"/>
          <w:szCs w:val="24"/>
          <w:rtl/>
        </w:rPr>
        <w:t>רווחי הון - גם רווח הון מהווה הכנסה אם כי לא במהלך העסקים הרגיל. כפי שנלמד ב-</w:t>
      </w:r>
      <w:r w:rsidRPr="00170712">
        <w:rPr>
          <w:rFonts w:cs="David"/>
          <w:sz w:val="24"/>
          <w:szCs w:val="24"/>
        </w:rPr>
        <w:t>IAS-18</w:t>
      </w:r>
      <w:r w:rsidRPr="00170712">
        <w:rPr>
          <w:rFonts w:cs="David" w:hint="cs"/>
          <w:sz w:val="24"/>
          <w:szCs w:val="24"/>
          <w:rtl/>
        </w:rPr>
        <w:t xml:space="preserve"> מקובל להחיל את הקריטריונים של הכרה בהכנסה באותו אופן גם לגבי הכנסות ממכירות וגם לגבי רווחי הון. ההבדל בין רווח הון לבין הכנסה רגילה הוא הבדל הצגתי - רווח הון מוצג בדרך כלל בנטו והכנסות מוצגות בדרך כלל בברוטו (כלומר עלות המכר היא בנפרד ולא בקיזוז מההכנסה).</w:t>
      </w:r>
    </w:p>
    <w:p w:rsidR="00170712" w:rsidRPr="00170712" w:rsidRDefault="00170712" w:rsidP="00170712">
      <w:pPr>
        <w:pStyle w:val="a7"/>
        <w:spacing w:line="360" w:lineRule="auto"/>
        <w:ind w:left="0"/>
        <w:jc w:val="both"/>
        <w:rPr>
          <w:rFonts w:cs="David"/>
          <w:sz w:val="24"/>
          <w:szCs w:val="24"/>
          <w:rtl/>
        </w:rPr>
      </w:pPr>
      <w:r w:rsidRPr="00170712">
        <w:rPr>
          <w:rFonts w:cs="David" w:hint="cs"/>
          <w:sz w:val="24"/>
          <w:szCs w:val="24"/>
          <w:rtl/>
        </w:rPr>
        <w:t xml:space="preserve">ההכרה בהכנסה נוצרת כאשר הגידול בנכסים נטו מתרחש בעקבות אירוע וגידול זה ניתן למדידה מהימנה. בפועל המסגרת המושגית לא שימושית לעניין הכנסות שכן </w:t>
      </w:r>
      <w:r w:rsidRPr="00170712">
        <w:rPr>
          <w:rFonts w:cs="David"/>
          <w:sz w:val="24"/>
          <w:szCs w:val="24"/>
        </w:rPr>
        <w:t>IAS-18</w:t>
      </w:r>
      <w:r w:rsidRPr="00170712">
        <w:rPr>
          <w:rFonts w:cs="David" w:hint="cs"/>
          <w:sz w:val="24"/>
          <w:szCs w:val="24"/>
          <w:rtl/>
        </w:rPr>
        <w:t xml:space="preserve"> כולל הוראות מפורטות יותר.</w:t>
      </w:r>
    </w:p>
    <w:p w:rsidR="00170712" w:rsidRPr="00170712" w:rsidRDefault="00170712" w:rsidP="00170712">
      <w:pPr>
        <w:pStyle w:val="a7"/>
        <w:numPr>
          <w:ilvl w:val="0"/>
          <w:numId w:val="10"/>
        </w:numPr>
        <w:spacing w:line="360" w:lineRule="auto"/>
        <w:jc w:val="both"/>
        <w:rPr>
          <w:rFonts w:cs="David"/>
          <w:sz w:val="24"/>
          <w:szCs w:val="24"/>
          <w:rtl/>
        </w:rPr>
      </w:pPr>
      <w:r w:rsidRPr="00170712">
        <w:rPr>
          <w:rFonts w:cs="David" w:hint="cs"/>
          <w:b/>
          <w:bCs/>
          <w:sz w:val="24"/>
          <w:szCs w:val="24"/>
          <w:rtl/>
        </w:rPr>
        <w:t>הערה</w:t>
      </w:r>
      <w:r w:rsidRPr="00170712">
        <w:rPr>
          <w:rFonts w:cs="David" w:hint="cs"/>
          <w:sz w:val="24"/>
          <w:szCs w:val="24"/>
          <w:rtl/>
        </w:rPr>
        <w:t xml:space="preserve"> - אחד הדברים הבולטים בהגדרה של הכנסה הוא שהיא לא כוללת השקעת בעלים. המשמעות היא שכאשר נעשית עסקה עם בעל השליטה ובעסקה זו החברה מקבלת תמורה שהיא יותר גבוהה מהתמורה הנורמאלית, העודף מעבר לנורמאלי לא יירשם כהכנסה אלא כהשקעת בעלים. לדוגמא - החברה מכרה לבעל השליטה מלאי ב-200 ש"ח. השווי ההוגן של המלאי - 150 ש"ח. לפי המסגרת, ההכנסה תירשם בגובה - 150 בלבד. ה-50 העודפים יירשמו כקרן הון מעסקה עם בעל שליטה. עיקרון זה מתחבר עם תקן 23 (הישראלי) בדבר </w:t>
      </w:r>
      <w:r w:rsidRPr="00170712">
        <w:rPr>
          <w:rFonts w:cs="David" w:hint="cs"/>
          <w:sz w:val="24"/>
          <w:szCs w:val="24"/>
          <w:rtl/>
        </w:rPr>
        <w:lastRenderedPageBreak/>
        <w:t>עסקאות עם בעלי שליטה. תקן זה אמנם איננו מהווה חלק מה-</w:t>
      </w:r>
      <w:r w:rsidRPr="00170712">
        <w:rPr>
          <w:rFonts w:cs="David"/>
          <w:sz w:val="24"/>
          <w:szCs w:val="24"/>
        </w:rPr>
        <w:t>IFRS</w:t>
      </w:r>
      <w:r w:rsidRPr="00170712">
        <w:rPr>
          <w:rFonts w:cs="David" w:hint="cs"/>
          <w:sz w:val="24"/>
          <w:szCs w:val="24"/>
          <w:rtl/>
        </w:rPr>
        <w:t xml:space="preserve"> אבל הטיפול העקרוני שנקבע בו בהחלט תואם לרוח המסגרת המושגית וגם להיבטים מסוימים ב-</w:t>
      </w:r>
      <w:r w:rsidRPr="00170712">
        <w:rPr>
          <w:rFonts w:cs="David"/>
          <w:sz w:val="24"/>
          <w:szCs w:val="24"/>
        </w:rPr>
        <w:t>IFRS-2</w:t>
      </w:r>
      <w:r w:rsidRPr="00170712">
        <w:rPr>
          <w:rFonts w:cs="David" w:hint="cs"/>
          <w:sz w:val="24"/>
          <w:szCs w:val="24"/>
          <w:rtl/>
        </w:rPr>
        <w:t>.</w:t>
      </w:r>
    </w:p>
    <w:p w:rsidR="00170712" w:rsidRPr="00170712" w:rsidRDefault="00170712" w:rsidP="00170712">
      <w:pPr>
        <w:pStyle w:val="a7"/>
        <w:spacing w:line="360" w:lineRule="auto"/>
        <w:ind w:left="0"/>
        <w:jc w:val="both"/>
        <w:rPr>
          <w:rFonts w:cs="David"/>
          <w:sz w:val="24"/>
          <w:szCs w:val="24"/>
          <w:rtl/>
        </w:rPr>
      </w:pPr>
      <w:r w:rsidRPr="00170712">
        <w:rPr>
          <w:rFonts w:cs="David" w:hint="cs"/>
          <w:b/>
          <w:bCs/>
          <w:sz w:val="24"/>
          <w:szCs w:val="24"/>
          <w:u w:val="single"/>
          <w:rtl/>
        </w:rPr>
        <w:t xml:space="preserve">4.6 </w:t>
      </w:r>
      <w:r w:rsidRPr="00170712">
        <w:rPr>
          <w:rFonts w:cs="David" w:hint="cs"/>
          <w:b/>
          <w:bCs/>
          <w:sz w:val="24"/>
          <w:szCs w:val="24"/>
          <w:u w:val="single"/>
          <w:rtl/>
        </w:rPr>
        <w:t>הוצאה</w:t>
      </w:r>
      <w:r w:rsidRPr="00170712">
        <w:rPr>
          <w:rFonts w:cs="David" w:hint="cs"/>
          <w:sz w:val="24"/>
          <w:szCs w:val="24"/>
          <w:rtl/>
        </w:rPr>
        <w:t xml:space="preserve"> </w:t>
      </w:r>
    </w:p>
    <w:p w:rsidR="00170712" w:rsidRPr="00170712" w:rsidRDefault="00170712" w:rsidP="00170712">
      <w:pPr>
        <w:pStyle w:val="a7"/>
        <w:spacing w:line="360" w:lineRule="auto"/>
        <w:ind w:left="0"/>
        <w:jc w:val="both"/>
        <w:rPr>
          <w:rFonts w:cs="David"/>
          <w:sz w:val="24"/>
          <w:szCs w:val="24"/>
          <w:rtl/>
        </w:rPr>
      </w:pPr>
      <w:r w:rsidRPr="00170712">
        <w:rPr>
          <w:rFonts w:cs="David" w:hint="cs"/>
          <w:sz w:val="24"/>
          <w:szCs w:val="24"/>
          <w:rtl/>
        </w:rPr>
        <w:t>הוצאה היא ההיפך מהכנסה, כלומר, קיטון בהטבות הכלכליות בדרך של קיטון בנכסים או גידול בהתחייבויות (כלומר קיטון בהון העצמי נטו) ולמעט קיטון הנובע מחלוקה לבעלים. אחד ההיבטים החשובים בהוצאות נקרא עיקרון ההקבלה. ההוצאות מוכרות בדרך כלל במקביל להכנסות שהן עזרו לייצר (למשל פחת או עלות המכר). עם זאת, עיקרון ההקבלה הוא לא עיקרון מוחלט, כלומר, אם החברה נשאה בהוצאות שהתשלומים בגינן לא עומדים בהגדרה של נכס, לא נוכל לדחות את ההכרה בהוצאה, אפילו אם ההכנסה טרם נרשמה. לדוגמא - רישום הוצאות פחת מתחיל ברגע שהנכס כשיר להפעלה והקמתו הסתיימה. אפילו אם הנכס לא ייצר בפועל, הוצאות הפחת יירשמו בכל מקרה. ההוצאות מוכרות כאשר הקיטון בנכסים נטו מתרחש והוא ניתן למדידה מהימנה.</w:t>
      </w:r>
    </w:p>
    <w:p w:rsidR="00F241B9" w:rsidRPr="00170712" w:rsidRDefault="00F241B9" w:rsidP="00F241B9">
      <w:pPr>
        <w:pStyle w:val="a7"/>
        <w:spacing w:line="360" w:lineRule="auto"/>
        <w:ind w:left="0"/>
        <w:jc w:val="both"/>
        <w:rPr>
          <w:rFonts w:cs="David"/>
          <w:sz w:val="24"/>
          <w:szCs w:val="24"/>
          <w:rtl/>
        </w:rPr>
      </w:pPr>
    </w:p>
    <w:p w:rsidR="00F241B9" w:rsidRDefault="00F241B9" w:rsidP="00F241B9">
      <w:pPr>
        <w:pStyle w:val="a7"/>
        <w:spacing w:line="360" w:lineRule="auto"/>
        <w:ind w:left="0"/>
        <w:jc w:val="both"/>
        <w:rPr>
          <w:rFonts w:cs="David" w:hint="cs"/>
          <w:b/>
          <w:bCs/>
          <w:sz w:val="24"/>
          <w:szCs w:val="24"/>
          <w:u w:val="single"/>
          <w:rtl/>
        </w:rPr>
      </w:pPr>
      <w:r>
        <w:rPr>
          <w:rFonts w:cs="David" w:hint="cs"/>
          <w:b/>
          <w:bCs/>
          <w:sz w:val="24"/>
          <w:szCs w:val="24"/>
          <w:u w:val="single"/>
          <w:rtl/>
        </w:rPr>
        <w:t>שינויים בהון העצמי</w:t>
      </w:r>
    </w:p>
    <w:p w:rsidR="00F241B9" w:rsidRDefault="00F241B9" w:rsidP="00F241B9">
      <w:pPr>
        <w:pStyle w:val="a7"/>
        <w:spacing w:line="360" w:lineRule="auto"/>
        <w:ind w:left="0"/>
        <w:jc w:val="both"/>
        <w:rPr>
          <w:rFonts w:cs="David"/>
          <w:sz w:val="24"/>
          <w:szCs w:val="24"/>
          <w:rtl/>
        </w:rPr>
      </w:pPr>
      <w:r>
        <w:rPr>
          <w:rFonts w:cs="David" w:hint="cs"/>
          <w:sz w:val="24"/>
          <w:szCs w:val="24"/>
          <w:rtl/>
        </w:rPr>
        <w:t xml:space="preserve">שינויים בהון העצמי מטופלים בחשבונאות לפי השינויים בין ההון העצמי </w:t>
      </w:r>
      <w:proofErr w:type="spellStart"/>
      <w:r>
        <w:rPr>
          <w:rFonts w:cs="David" w:hint="cs"/>
          <w:sz w:val="24"/>
          <w:szCs w:val="24"/>
          <w:rtl/>
        </w:rPr>
        <w:t>י"פ</w:t>
      </w:r>
      <w:proofErr w:type="spellEnd"/>
      <w:r>
        <w:rPr>
          <w:rFonts w:cs="David" w:hint="cs"/>
          <w:sz w:val="24"/>
          <w:szCs w:val="24"/>
          <w:rtl/>
        </w:rPr>
        <w:t xml:space="preserve"> להון עצמי </w:t>
      </w:r>
      <w:proofErr w:type="spellStart"/>
      <w:r>
        <w:rPr>
          <w:rFonts w:cs="David" w:hint="cs"/>
          <w:sz w:val="24"/>
          <w:szCs w:val="24"/>
          <w:rtl/>
        </w:rPr>
        <w:t>י"ס</w:t>
      </w:r>
      <w:proofErr w:type="spellEnd"/>
      <w:r>
        <w:rPr>
          <w:rFonts w:cs="David" w:hint="cs"/>
          <w:sz w:val="24"/>
          <w:szCs w:val="24"/>
          <w:rtl/>
        </w:rPr>
        <w:t xml:space="preserve"> . השינויים בהון העצמי מתחלקים לשני סוגים:</w:t>
      </w:r>
    </w:p>
    <w:p w:rsidR="00F241B9" w:rsidRDefault="00F241B9" w:rsidP="00F241B9">
      <w:pPr>
        <w:pStyle w:val="a7"/>
        <w:numPr>
          <w:ilvl w:val="0"/>
          <w:numId w:val="12"/>
        </w:numPr>
        <w:spacing w:line="360" w:lineRule="auto"/>
        <w:jc w:val="both"/>
        <w:rPr>
          <w:rFonts w:cs="David"/>
          <w:sz w:val="24"/>
          <w:szCs w:val="24"/>
        </w:rPr>
      </w:pPr>
      <w:r>
        <w:rPr>
          <w:rFonts w:cs="David" w:hint="cs"/>
          <w:sz w:val="24"/>
          <w:szCs w:val="24"/>
          <w:rtl/>
        </w:rPr>
        <w:t xml:space="preserve">שינויים הוניים </w:t>
      </w:r>
      <w:r>
        <w:rPr>
          <w:rFonts w:cs="David"/>
          <w:sz w:val="24"/>
          <w:szCs w:val="24"/>
          <w:rtl/>
        </w:rPr>
        <w:t>–</w:t>
      </w:r>
      <w:r>
        <w:rPr>
          <w:rFonts w:cs="David" w:hint="cs"/>
          <w:sz w:val="24"/>
          <w:szCs w:val="24"/>
          <w:rtl/>
        </w:rPr>
        <w:t>נובעים כתוצאה משינויים בהון העצמי וקורים כתוצאה מעסקאות עם בע"מ כמו: הנפקת מניות, הכרזת דיבידנד , רכישת מניות באוצר ומכירתן</w:t>
      </w:r>
    </w:p>
    <w:p w:rsidR="00F241B9" w:rsidRDefault="00F241B9" w:rsidP="00F241B9">
      <w:pPr>
        <w:pStyle w:val="a7"/>
        <w:numPr>
          <w:ilvl w:val="0"/>
          <w:numId w:val="12"/>
        </w:numPr>
        <w:spacing w:line="360" w:lineRule="auto"/>
        <w:jc w:val="both"/>
        <w:rPr>
          <w:rFonts w:cs="David"/>
          <w:sz w:val="24"/>
          <w:szCs w:val="24"/>
        </w:rPr>
      </w:pPr>
      <w:r>
        <w:rPr>
          <w:rFonts w:cs="David" w:hint="cs"/>
          <w:sz w:val="24"/>
          <w:szCs w:val="24"/>
          <w:rtl/>
        </w:rPr>
        <w:t xml:space="preserve">רווח כולל </w:t>
      </w:r>
      <w:r>
        <w:rPr>
          <w:rFonts w:cs="David"/>
          <w:sz w:val="24"/>
          <w:szCs w:val="24"/>
          <w:rtl/>
        </w:rPr>
        <w:t>–</w:t>
      </w:r>
      <w:r>
        <w:rPr>
          <w:rFonts w:cs="David" w:hint="cs"/>
          <w:sz w:val="24"/>
          <w:szCs w:val="24"/>
          <w:rtl/>
        </w:rPr>
        <w:t xml:space="preserve"> כל השינויים האחרים בהון העצמי שאינם כתוצאה מעסקאות עם הבעלים (ובאנגלית : </w:t>
      </w:r>
      <w:r>
        <w:rPr>
          <w:rFonts w:cs="David"/>
          <w:b/>
          <w:bCs/>
          <w:sz w:val="24"/>
          <w:szCs w:val="24"/>
        </w:rPr>
        <w:t>comprehensive income</w:t>
      </w:r>
      <w:r>
        <w:rPr>
          <w:rFonts w:cs="David" w:hint="cs"/>
          <w:sz w:val="24"/>
          <w:szCs w:val="24"/>
          <w:rtl/>
        </w:rPr>
        <w:t>) הרווח הכולל מורכב משני חלקים :</w:t>
      </w:r>
    </w:p>
    <w:p w:rsidR="00F241B9" w:rsidRDefault="00F241B9" w:rsidP="00F241B9">
      <w:pPr>
        <w:pStyle w:val="a7"/>
        <w:numPr>
          <w:ilvl w:val="0"/>
          <w:numId w:val="13"/>
        </w:numPr>
        <w:spacing w:line="360" w:lineRule="auto"/>
        <w:jc w:val="both"/>
        <w:rPr>
          <w:rFonts w:cs="David" w:hint="cs"/>
          <w:sz w:val="24"/>
          <w:szCs w:val="24"/>
          <w:rtl/>
        </w:rPr>
      </w:pPr>
      <w:r>
        <w:rPr>
          <w:rFonts w:cs="David" w:hint="cs"/>
          <w:sz w:val="24"/>
          <w:szCs w:val="24"/>
          <w:rtl/>
        </w:rPr>
        <w:t xml:space="preserve">דו"ח </w:t>
      </w:r>
      <w:proofErr w:type="spellStart"/>
      <w:r>
        <w:rPr>
          <w:rFonts w:cs="David" w:hint="cs"/>
          <w:sz w:val="24"/>
          <w:szCs w:val="24"/>
          <w:rtl/>
        </w:rPr>
        <w:t>רוה"ס</w:t>
      </w:r>
      <w:proofErr w:type="spellEnd"/>
      <w:r>
        <w:rPr>
          <w:rFonts w:cs="David" w:hint="cs"/>
          <w:sz w:val="24"/>
          <w:szCs w:val="24"/>
          <w:rtl/>
        </w:rPr>
        <w:t xml:space="preserve"> </w:t>
      </w:r>
      <w:r>
        <w:rPr>
          <w:rFonts w:cs="David"/>
          <w:sz w:val="24"/>
          <w:szCs w:val="24"/>
          <w:rtl/>
        </w:rPr>
        <w:t>–</w:t>
      </w:r>
      <w:r>
        <w:rPr>
          <w:rFonts w:cs="David" w:hint="cs"/>
          <w:sz w:val="24"/>
          <w:szCs w:val="24"/>
          <w:rtl/>
        </w:rPr>
        <w:t xml:space="preserve"> שמסתיים ברווח הנקי לשנה</w:t>
      </w:r>
    </w:p>
    <w:p w:rsidR="00F241B9" w:rsidRDefault="00F241B9" w:rsidP="00F241B9">
      <w:pPr>
        <w:pStyle w:val="a7"/>
        <w:numPr>
          <w:ilvl w:val="0"/>
          <w:numId w:val="13"/>
        </w:numPr>
        <w:spacing w:line="360" w:lineRule="auto"/>
        <w:jc w:val="both"/>
        <w:rPr>
          <w:rFonts w:cs="David"/>
          <w:sz w:val="24"/>
          <w:szCs w:val="24"/>
        </w:rPr>
      </w:pPr>
      <w:r>
        <w:rPr>
          <w:rFonts w:cs="David" w:hint="cs"/>
          <w:sz w:val="24"/>
          <w:szCs w:val="24"/>
          <w:rtl/>
        </w:rPr>
        <w:t xml:space="preserve">דו"ח על רווח כולל אחר </w:t>
      </w:r>
      <w:r>
        <w:rPr>
          <w:rFonts w:cs="David"/>
          <w:sz w:val="24"/>
          <w:szCs w:val="24"/>
          <w:rtl/>
        </w:rPr>
        <w:t>–</w:t>
      </w:r>
      <w:r>
        <w:rPr>
          <w:rFonts w:cs="David" w:hint="cs"/>
          <w:sz w:val="24"/>
          <w:szCs w:val="24"/>
          <w:rtl/>
        </w:rPr>
        <w:t xml:space="preserve"> כל האלמנטים שנכנסים לרווח הכולל אבל לא נכנסים לדו"ח </w:t>
      </w:r>
      <w:proofErr w:type="spellStart"/>
      <w:r>
        <w:rPr>
          <w:rFonts w:cs="David" w:hint="cs"/>
          <w:sz w:val="24"/>
          <w:szCs w:val="24"/>
          <w:rtl/>
        </w:rPr>
        <w:t>רוה"ס</w:t>
      </w:r>
      <w:proofErr w:type="spellEnd"/>
      <w:r>
        <w:rPr>
          <w:rFonts w:cs="David" w:hint="cs"/>
          <w:sz w:val="24"/>
          <w:szCs w:val="24"/>
          <w:rtl/>
        </w:rPr>
        <w:t xml:space="preserve"> . </w:t>
      </w:r>
    </w:p>
    <w:p w:rsidR="00F241B9" w:rsidRDefault="00F241B9" w:rsidP="00F241B9">
      <w:pPr>
        <w:spacing w:line="360" w:lineRule="auto"/>
        <w:jc w:val="both"/>
        <w:rPr>
          <w:rFonts w:cs="David"/>
          <w:sz w:val="24"/>
          <w:szCs w:val="24"/>
          <w:rtl/>
        </w:rPr>
      </w:pPr>
      <w:r>
        <w:rPr>
          <w:rFonts w:cs="David" w:hint="cs"/>
          <w:sz w:val="24"/>
          <w:szCs w:val="24"/>
          <w:rtl/>
        </w:rPr>
        <w:t xml:space="preserve">ז"א שהחשבונאות יצרה כאן סיבוך ישנם שישה אלמנטים שמוצגים ברווח כולל אחר ולא </w:t>
      </w:r>
      <w:proofErr w:type="spellStart"/>
      <w:r>
        <w:rPr>
          <w:rFonts w:cs="David" w:hint="cs"/>
          <w:sz w:val="24"/>
          <w:szCs w:val="24"/>
          <w:rtl/>
        </w:rPr>
        <w:t>ברוה"ס</w:t>
      </w:r>
      <w:proofErr w:type="spellEnd"/>
      <w:r>
        <w:rPr>
          <w:rFonts w:cs="David" w:hint="cs"/>
          <w:sz w:val="24"/>
          <w:szCs w:val="24"/>
          <w:rtl/>
        </w:rPr>
        <w:t xml:space="preserve"> ונשאלת השאלה מדוע האלמנטים הללו לא נמצאים בדו"ח </w:t>
      </w:r>
      <w:proofErr w:type="spellStart"/>
      <w:r>
        <w:rPr>
          <w:rFonts w:cs="David" w:hint="cs"/>
          <w:sz w:val="24"/>
          <w:szCs w:val="24"/>
          <w:rtl/>
        </w:rPr>
        <w:t>רוה"ס</w:t>
      </w:r>
      <w:proofErr w:type="spellEnd"/>
      <w:r>
        <w:rPr>
          <w:rFonts w:cs="David" w:hint="cs"/>
          <w:sz w:val="24"/>
          <w:szCs w:val="24"/>
          <w:rtl/>
        </w:rPr>
        <w:t>?</w:t>
      </w:r>
    </w:p>
    <w:p w:rsidR="00F241B9" w:rsidRDefault="00F241B9" w:rsidP="00F241B9">
      <w:pPr>
        <w:spacing w:line="360" w:lineRule="auto"/>
        <w:jc w:val="both"/>
        <w:rPr>
          <w:rFonts w:cs="David"/>
          <w:sz w:val="24"/>
          <w:szCs w:val="24"/>
          <w:rtl/>
        </w:rPr>
      </w:pPr>
      <w:r>
        <w:rPr>
          <w:rFonts w:cs="David" w:hint="cs"/>
          <w:sz w:val="24"/>
          <w:szCs w:val="24"/>
          <w:rtl/>
        </w:rPr>
        <w:t xml:space="preserve">והתשובה היא שדו"ח </w:t>
      </w:r>
      <w:proofErr w:type="spellStart"/>
      <w:r>
        <w:rPr>
          <w:rFonts w:cs="David" w:hint="cs"/>
          <w:sz w:val="24"/>
          <w:szCs w:val="24"/>
          <w:rtl/>
        </w:rPr>
        <w:t>רוהס</w:t>
      </w:r>
      <w:proofErr w:type="spellEnd"/>
      <w:r>
        <w:rPr>
          <w:rFonts w:cs="David" w:hint="cs"/>
          <w:sz w:val="24"/>
          <w:szCs w:val="24"/>
          <w:rtl/>
        </w:rPr>
        <w:t xml:space="preserve"> בא למדוד את ביצועי החברה לעומת זאת הדברים שנכללים ברווח כולל אחר לא משקפים את רווחי החברה אלו לא ביצועים שהם חלק אינטגרלי מפעילות החברה ז"א אין שוב ערובה לכך שאותו ביצוע יצליח בפעם הבאה שהחברה תבצע אותו כמו למשל : אם אני מוכר בניין של המפעל ועובד לבניין חדש אז הבניין החדש סביר להניח יעלה לי יותר מהבניין הישן שמכרתי אז בחלק שמכרתי בסכום גבוה אני לא מכיר ברווח אלא מייחס אותו לעלות הבניין החדש.</w:t>
      </w:r>
    </w:p>
    <w:p w:rsidR="00F241B9" w:rsidRDefault="00F241B9" w:rsidP="00F241B9">
      <w:pPr>
        <w:spacing w:line="360" w:lineRule="auto"/>
        <w:jc w:val="both"/>
        <w:rPr>
          <w:rFonts w:cs="David"/>
          <w:sz w:val="24"/>
          <w:szCs w:val="24"/>
          <w:rtl/>
        </w:rPr>
      </w:pPr>
      <w:r>
        <w:rPr>
          <w:rFonts w:cs="David" w:hint="cs"/>
          <w:sz w:val="24"/>
          <w:szCs w:val="24"/>
          <w:rtl/>
        </w:rPr>
        <w:t>כל חלק נמדד ומסתכלים עליו בצורה שונה ונפרט את ששת הרכיבים הללו:</w:t>
      </w:r>
    </w:p>
    <w:p w:rsidR="00F241B9" w:rsidRPr="00DB31BA" w:rsidRDefault="00F241B9" w:rsidP="00F241B9">
      <w:pPr>
        <w:pStyle w:val="a7"/>
        <w:numPr>
          <w:ilvl w:val="0"/>
          <w:numId w:val="14"/>
        </w:numPr>
        <w:spacing w:line="360" w:lineRule="auto"/>
        <w:jc w:val="both"/>
        <w:rPr>
          <w:rFonts w:cs="David" w:hint="cs"/>
          <w:b/>
          <w:bCs/>
          <w:sz w:val="24"/>
          <w:szCs w:val="24"/>
          <w:rtl/>
        </w:rPr>
      </w:pPr>
      <w:r w:rsidRPr="00DB31BA">
        <w:rPr>
          <w:rFonts w:cs="David" w:hint="cs"/>
          <w:b/>
          <w:bCs/>
          <w:sz w:val="24"/>
          <w:szCs w:val="24"/>
          <w:rtl/>
        </w:rPr>
        <w:t xml:space="preserve">שערוך של </w:t>
      </w:r>
      <w:proofErr w:type="spellStart"/>
      <w:r w:rsidRPr="00DB31BA">
        <w:rPr>
          <w:rFonts w:cs="David" w:hint="cs"/>
          <w:b/>
          <w:bCs/>
          <w:sz w:val="24"/>
          <w:szCs w:val="24"/>
          <w:rtl/>
        </w:rPr>
        <w:t>ר"ק</w:t>
      </w:r>
      <w:proofErr w:type="spellEnd"/>
      <w:r w:rsidRPr="00DB31BA">
        <w:rPr>
          <w:rFonts w:cs="David" w:hint="cs"/>
          <w:b/>
          <w:bCs/>
          <w:sz w:val="24"/>
          <w:szCs w:val="24"/>
          <w:rtl/>
        </w:rPr>
        <w:t xml:space="preserve"> או </w:t>
      </w:r>
      <w:proofErr w:type="spellStart"/>
      <w:r w:rsidRPr="00DB31BA">
        <w:rPr>
          <w:rFonts w:cs="David" w:hint="cs"/>
          <w:b/>
          <w:bCs/>
          <w:sz w:val="24"/>
          <w:szCs w:val="24"/>
          <w:rtl/>
        </w:rPr>
        <w:t>נ.ב.מ</w:t>
      </w:r>
      <w:proofErr w:type="spellEnd"/>
      <w:r w:rsidRPr="00DB31BA">
        <w:rPr>
          <w:rFonts w:cs="David" w:hint="cs"/>
          <w:b/>
          <w:bCs/>
          <w:sz w:val="24"/>
          <w:szCs w:val="24"/>
          <w:rtl/>
        </w:rPr>
        <w:t xml:space="preserve">- </w:t>
      </w:r>
      <w:r>
        <w:rPr>
          <w:rFonts w:cs="David" w:hint="cs"/>
          <w:sz w:val="24"/>
          <w:szCs w:val="24"/>
          <w:rtl/>
        </w:rPr>
        <w:t xml:space="preserve">המילה קרן שערוך לא משקפת שינוי הוני. שערוך רכוש קבוע הוא עדיין חלק מהרווח הכולל של החברה. </w:t>
      </w:r>
      <w:r w:rsidR="006A1613">
        <w:rPr>
          <w:rFonts w:cs="David" w:hint="cs"/>
          <w:sz w:val="24"/>
          <w:szCs w:val="24"/>
          <w:rtl/>
        </w:rPr>
        <w:t xml:space="preserve">מה קורה אם </w:t>
      </w:r>
      <w:proofErr w:type="spellStart"/>
      <w:r w:rsidR="006A1613">
        <w:rPr>
          <w:rFonts w:cs="David" w:hint="cs"/>
          <w:sz w:val="24"/>
          <w:szCs w:val="24"/>
          <w:rtl/>
        </w:rPr>
        <w:t>הר"ק</w:t>
      </w:r>
      <w:proofErr w:type="spellEnd"/>
      <w:r w:rsidR="006A1613">
        <w:rPr>
          <w:rFonts w:cs="David" w:hint="cs"/>
          <w:sz w:val="24"/>
          <w:szCs w:val="24"/>
          <w:rtl/>
        </w:rPr>
        <w:t xml:space="preserve"> מופחת אח"כ . האם אני חייב להפחית את קרן השערוך או שאני יכול להשאיר את קרן השערוך כמו שהיא ? לפי </w:t>
      </w:r>
      <w:r w:rsidR="006A1613">
        <w:rPr>
          <w:rFonts w:cs="David" w:hint="cs"/>
          <w:sz w:val="24"/>
          <w:szCs w:val="24"/>
        </w:rPr>
        <w:t>IAS16</w:t>
      </w:r>
      <w:r w:rsidR="006A1613">
        <w:rPr>
          <w:rFonts w:cs="David" w:hint="cs"/>
          <w:sz w:val="24"/>
          <w:szCs w:val="24"/>
          <w:rtl/>
        </w:rPr>
        <w:t xml:space="preserve"> החברה יכולה לבחור במדיניות חשבונאית שלא כוללת הפחתה של קרן השערוך </w:t>
      </w:r>
      <w:r w:rsidR="006A1613">
        <w:rPr>
          <w:rFonts w:cs="David" w:hint="cs"/>
          <w:sz w:val="24"/>
          <w:szCs w:val="24"/>
          <w:rtl/>
        </w:rPr>
        <w:lastRenderedPageBreak/>
        <w:t>אפשר אפילו למכור את הבניין בלי ל</w:t>
      </w:r>
      <w:r w:rsidR="004C6A17">
        <w:rPr>
          <w:rFonts w:cs="David" w:hint="cs"/>
          <w:sz w:val="24"/>
          <w:szCs w:val="24"/>
          <w:rtl/>
        </w:rPr>
        <w:t>נגוע בקרן השערוך משמעות קרן הש</w:t>
      </w:r>
      <w:r w:rsidR="006A1613">
        <w:rPr>
          <w:rFonts w:cs="David" w:hint="cs"/>
          <w:sz w:val="24"/>
          <w:szCs w:val="24"/>
          <w:rtl/>
        </w:rPr>
        <w:t>ערוך במקרה זה הוא להציג שינויים ה</w:t>
      </w:r>
      <w:r w:rsidR="004C6A17">
        <w:rPr>
          <w:rFonts w:cs="David" w:hint="cs"/>
          <w:sz w:val="24"/>
          <w:szCs w:val="24"/>
          <w:rtl/>
        </w:rPr>
        <w:t>י</w:t>
      </w:r>
      <w:r w:rsidR="006A1613">
        <w:rPr>
          <w:rFonts w:cs="David" w:hint="cs"/>
          <w:sz w:val="24"/>
          <w:szCs w:val="24"/>
          <w:rtl/>
        </w:rPr>
        <w:t xml:space="preserve">סטוריים שקרו בנכסי החברה . החברה יכולה גם לבחור במדיניות חשבונאית של הפחתת קרן השערוך בקצב הפחת . המטרה הראשונית </w:t>
      </w:r>
      <w:proofErr w:type="spellStart"/>
      <w:r w:rsidR="006A1613">
        <w:rPr>
          <w:rFonts w:cs="David" w:hint="cs"/>
          <w:sz w:val="24"/>
          <w:szCs w:val="24"/>
          <w:rtl/>
        </w:rPr>
        <w:t>היתה</w:t>
      </w:r>
      <w:proofErr w:type="spellEnd"/>
      <w:r w:rsidR="006A1613">
        <w:rPr>
          <w:rFonts w:cs="David" w:hint="cs"/>
          <w:sz w:val="24"/>
          <w:szCs w:val="24"/>
          <w:rtl/>
        </w:rPr>
        <w:t xml:space="preserve"> לא להפחית את קרן השערוך וכך בעצם העודפים היו קטנים. הרעיון </w:t>
      </w:r>
      <w:r w:rsidR="004C6A17">
        <w:rPr>
          <w:rFonts w:cs="David" w:hint="cs"/>
          <w:sz w:val="24"/>
          <w:szCs w:val="24"/>
          <w:rtl/>
        </w:rPr>
        <w:t>היה להראות שש</w:t>
      </w:r>
      <w:r w:rsidR="006A1613">
        <w:rPr>
          <w:rFonts w:cs="David" w:hint="cs"/>
          <w:sz w:val="24"/>
          <w:szCs w:val="24"/>
          <w:rtl/>
        </w:rPr>
        <w:t xml:space="preserve">ערוך </w:t>
      </w:r>
      <w:proofErr w:type="spellStart"/>
      <w:r w:rsidR="006A1613">
        <w:rPr>
          <w:rFonts w:cs="David" w:hint="cs"/>
          <w:sz w:val="24"/>
          <w:szCs w:val="24"/>
          <w:rtl/>
        </w:rPr>
        <w:t>ר"</w:t>
      </w:r>
      <w:r w:rsidR="004C6A17">
        <w:rPr>
          <w:rFonts w:cs="David" w:hint="cs"/>
          <w:sz w:val="24"/>
          <w:szCs w:val="24"/>
          <w:rtl/>
        </w:rPr>
        <w:t>ק</w:t>
      </w:r>
      <w:proofErr w:type="spellEnd"/>
      <w:r w:rsidR="004C6A17">
        <w:rPr>
          <w:rFonts w:cs="David" w:hint="cs"/>
          <w:sz w:val="24"/>
          <w:szCs w:val="24"/>
          <w:rtl/>
        </w:rPr>
        <w:t xml:space="preserve"> לא מייצג רווח </w:t>
      </w:r>
      <w:proofErr w:type="spellStart"/>
      <w:r w:rsidR="004C6A17">
        <w:rPr>
          <w:rFonts w:cs="David" w:hint="cs"/>
          <w:sz w:val="24"/>
          <w:szCs w:val="24"/>
          <w:rtl/>
        </w:rPr>
        <w:t>אמי</w:t>
      </w:r>
      <w:r w:rsidR="006A1613">
        <w:rPr>
          <w:rFonts w:cs="David" w:hint="cs"/>
          <w:sz w:val="24"/>
          <w:szCs w:val="24"/>
          <w:rtl/>
        </w:rPr>
        <w:t>תי</w:t>
      </w:r>
      <w:proofErr w:type="spellEnd"/>
      <w:r w:rsidR="006A1613">
        <w:rPr>
          <w:rFonts w:cs="David" w:hint="cs"/>
          <w:sz w:val="24"/>
          <w:szCs w:val="24"/>
          <w:rtl/>
        </w:rPr>
        <w:t xml:space="preserve"> וכך החברה לא יכלה לחלק אותו כדיבידנד אבל לאורך השניים בגלל לחצים שחברות הפעילו התירו להפחית את קרן השערוך בקצב הפחת אם שערכתי בניין מ-100 ל-150 אז הוצאות הפחת באותה שנה יהיו לפי 150 </w:t>
      </w:r>
      <w:r w:rsidR="004C6A17">
        <w:rPr>
          <w:rFonts w:cs="David" w:hint="cs"/>
          <w:sz w:val="24"/>
          <w:szCs w:val="24"/>
          <w:rtl/>
        </w:rPr>
        <w:t xml:space="preserve">. שוב הטיפול בקרן השערוך הוא לפי בחירת החברה. </w:t>
      </w:r>
    </w:p>
    <w:p w:rsidR="00F241B9" w:rsidRPr="00130DD4" w:rsidRDefault="004C6A17" w:rsidP="00F241B9">
      <w:pPr>
        <w:pStyle w:val="a7"/>
        <w:numPr>
          <w:ilvl w:val="0"/>
          <w:numId w:val="14"/>
        </w:numPr>
        <w:spacing w:line="360" w:lineRule="auto"/>
        <w:jc w:val="both"/>
        <w:rPr>
          <w:rFonts w:cs="David"/>
          <w:b/>
          <w:bCs/>
          <w:sz w:val="24"/>
          <w:szCs w:val="24"/>
        </w:rPr>
      </w:pPr>
      <w:r>
        <w:rPr>
          <w:rFonts w:cs="David" w:hint="cs"/>
          <w:b/>
          <w:bCs/>
          <w:sz w:val="24"/>
          <w:szCs w:val="24"/>
          <w:rtl/>
        </w:rPr>
        <w:t xml:space="preserve">קרן הון ז"ל </w:t>
      </w:r>
      <w:r>
        <w:rPr>
          <w:rFonts w:cs="David"/>
          <w:b/>
          <w:bCs/>
          <w:sz w:val="24"/>
          <w:szCs w:val="24"/>
          <w:rtl/>
        </w:rPr>
        <w:t>–</w:t>
      </w:r>
      <w:r>
        <w:rPr>
          <w:rFonts w:cs="David" w:hint="cs"/>
          <w:b/>
          <w:bCs/>
          <w:sz w:val="24"/>
          <w:szCs w:val="24"/>
          <w:rtl/>
        </w:rPr>
        <w:t xml:space="preserve"> </w:t>
      </w:r>
      <w:r>
        <w:rPr>
          <w:rFonts w:cs="David" w:hint="cs"/>
          <w:sz w:val="24"/>
          <w:szCs w:val="24"/>
          <w:rtl/>
        </w:rPr>
        <w:t xml:space="preserve">לפי </w:t>
      </w:r>
      <w:r>
        <w:rPr>
          <w:rFonts w:cs="David" w:hint="cs"/>
          <w:sz w:val="24"/>
          <w:szCs w:val="24"/>
        </w:rPr>
        <w:t>IAS39</w:t>
      </w:r>
      <w:r>
        <w:rPr>
          <w:rFonts w:cs="David" w:hint="cs"/>
          <w:sz w:val="24"/>
          <w:szCs w:val="24"/>
          <w:rtl/>
        </w:rPr>
        <w:t xml:space="preserve"> השקעה ז"ל יכולה להיות השקעה באג"ח או במכשירים הוניים (מב"כ , מניות) בהשקעה ז"ל ראשית מטפלים בהשקעה עצמה ובסוף התקופה משערכים </w:t>
      </w:r>
      <w:proofErr w:type="spellStart"/>
      <w:r>
        <w:rPr>
          <w:rFonts w:cs="David" w:hint="cs"/>
          <w:sz w:val="24"/>
          <w:szCs w:val="24"/>
          <w:rtl/>
        </w:rPr>
        <w:t>לשוו"ה</w:t>
      </w:r>
      <w:proofErr w:type="spellEnd"/>
      <w:r>
        <w:rPr>
          <w:rFonts w:cs="David" w:hint="cs"/>
          <w:sz w:val="24"/>
          <w:szCs w:val="24"/>
          <w:rtl/>
        </w:rPr>
        <w:t xml:space="preserve"> . בניגוד לשערוך קרקע ששם אם </w:t>
      </w:r>
      <w:proofErr w:type="spellStart"/>
      <w:r>
        <w:rPr>
          <w:rFonts w:cs="David" w:hint="cs"/>
          <w:sz w:val="24"/>
          <w:szCs w:val="24"/>
          <w:rtl/>
        </w:rPr>
        <w:t>השוו"ה</w:t>
      </w:r>
      <w:proofErr w:type="spellEnd"/>
      <w:r>
        <w:rPr>
          <w:rFonts w:cs="David" w:hint="cs"/>
          <w:sz w:val="24"/>
          <w:szCs w:val="24"/>
          <w:rtl/>
        </w:rPr>
        <w:t xml:space="preserve"> נפל באופן אוטומטי רושמים הפסד בקרן הון ז"ל אם יש ירידת ערך למניות לא מכירים ישר בהפסד אלא אם כן הירידה היא מתמשכת או משמעותית ואין הגדרה למושג מתמשכת או משמעותית ז"א שההחלטה אם הירידה משמעותית או ממושכת נתונה לשיקול דעת . בנוסף ברגע שאני מוכר את ני"ע אני סוגר את ההפרשים לרווח והפסד בשונה מקרן שערוך ששם אין חובה להפחית את הקרן. </w:t>
      </w:r>
      <w:r w:rsidR="00363714" w:rsidRPr="00363714">
        <w:rPr>
          <w:rFonts w:cs="David" w:hint="cs"/>
          <w:b/>
          <w:bCs/>
          <w:sz w:val="24"/>
          <w:szCs w:val="24"/>
          <w:rtl/>
        </w:rPr>
        <w:t>למשל:</w:t>
      </w:r>
      <w:r w:rsidR="00363714">
        <w:rPr>
          <w:rFonts w:cs="David" w:hint="cs"/>
          <w:sz w:val="24"/>
          <w:szCs w:val="24"/>
          <w:rtl/>
        </w:rPr>
        <w:t xml:space="preserve"> היו לי מניות שעלו לי 100 , </w:t>
      </w:r>
      <w:proofErr w:type="spellStart"/>
      <w:r w:rsidR="00363714">
        <w:rPr>
          <w:rFonts w:cs="David" w:hint="cs"/>
          <w:sz w:val="24"/>
          <w:szCs w:val="24"/>
          <w:rtl/>
        </w:rPr>
        <w:t>שוו"ה</w:t>
      </w:r>
      <w:proofErr w:type="spellEnd"/>
      <w:r w:rsidR="00363714">
        <w:rPr>
          <w:rFonts w:cs="David" w:hint="cs"/>
          <w:sz w:val="24"/>
          <w:szCs w:val="24"/>
          <w:rtl/>
        </w:rPr>
        <w:t xml:space="preserve"> היום 120 </w:t>
      </w:r>
      <w:r w:rsidR="00130DD4">
        <w:rPr>
          <w:rFonts w:cs="David" w:hint="cs"/>
          <w:sz w:val="24"/>
          <w:szCs w:val="24"/>
          <w:rtl/>
        </w:rPr>
        <w:t xml:space="preserve">, ז"א קרן הון ז"ל 20 . יצרתי מיסים נדחים לשלם (30%) בסך 6 ז"א שהקרן תוצג ברווח כולל אחר לפי 14 . נניח שמכרתי את המניות כעת ב-121 ₪ . </w:t>
      </w:r>
    </w:p>
    <w:p w:rsidR="00130DD4" w:rsidRDefault="00130DD4" w:rsidP="00130DD4">
      <w:pPr>
        <w:pStyle w:val="a7"/>
        <w:spacing w:line="360" w:lineRule="auto"/>
        <w:jc w:val="both"/>
        <w:rPr>
          <w:rFonts w:cs="David"/>
          <w:b/>
          <w:bCs/>
          <w:sz w:val="24"/>
          <w:szCs w:val="24"/>
          <w:rtl/>
        </w:rPr>
      </w:pPr>
      <w:proofErr w:type="spellStart"/>
      <w:r>
        <w:rPr>
          <w:rFonts w:cs="David" w:hint="cs"/>
          <w:b/>
          <w:bCs/>
          <w:sz w:val="24"/>
          <w:szCs w:val="24"/>
          <w:rtl/>
        </w:rPr>
        <w:t>פק"י</w:t>
      </w:r>
      <w:proofErr w:type="spellEnd"/>
      <w:r>
        <w:rPr>
          <w:rFonts w:cs="David" w:hint="cs"/>
          <w:b/>
          <w:bCs/>
          <w:sz w:val="24"/>
          <w:szCs w:val="24"/>
          <w:rtl/>
        </w:rPr>
        <w:t xml:space="preserve"> לביטול השערוך (לפני הטיפול במכירה)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668"/>
        <w:gridCol w:w="628"/>
      </w:tblGrid>
      <w:tr w:rsidR="00130DD4" w:rsidTr="00130DD4">
        <w:tc>
          <w:tcPr>
            <w:tcW w:w="0" w:type="auto"/>
            <w:vAlign w:val="center"/>
          </w:tcPr>
          <w:p w:rsidR="00130DD4" w:rsidRDefault="00130DD4" w:rsidP="00130DD4">
            <w:pPr>
              <w:pStyle w:val="a7"/>
              <w:spacing w:line="276" w:lineRule="auto"/>
              <w:ind w:left="0"/>
              <w:rPr>
                <w:rFonts w:cs="David"/>
                <w:sz w:val="24"/>
                <w:szCs w:val="24"/>
                <w:rtl/>
              </w:rPr>
            </w:pPr>
          </w:p>
        </w:tc>
        <w:tc>
          <w:tcPr>
            <w:tcW w:w="0" w:type="auto"/>
            <w:vAlign w:val="center"/>
          </w:tcPr>
          <w:p w:rsidR="00130DD4" w:rsidRDefault="00130DD4" w:rsidP="00130DD4">
            <w:pPr>
              <w:pStyle w:val="a7"/>
              <w:spacing w:line="276" w:lineRule="auto"/>
              <w:ind w:left="0"/>
              <w:rPr>
                <w:rFonts w:cs="David"/>
                <w:sz w:val="24"/>
                <w:szCs w:val="24"/>
                <w:rtl/>
              </w:rPr>
            </w:pPr>
            <w:r>
              <w:rPr>
                <w:rFonts w:cs="David" w:hint="cs"/>
                <w:sz w:val="24"/>
                <w:szCs w:val="24"/>
                <w:rtl/>
              </w:rPr>
              <w:t>חובה</w:t>
            </w:r>
          </w:p>
        </w:tc>
        <w:tc>
          <w:tcPr>
            <w:tcW w:w="0" w:type="auto"/>
            <w:vAlign w:val="center"/>
          </w:tcPr>
          <w:p w:rsidR="00130DD4" w:rsidRDefault="00130DD4" w:rsidP="00130DD4">
            <w:pPr>
              <w:pStyle w:val="a7"/>
              <w:spacing w:line="276" w:lineRule="auto"/>
              <w:ind w:left="0"/>
              <w:rPr>
                <w:rFonts w:cs="David"/>
                <w:sz w:val="24"/>
                <w:szCs w:val="24"/>
                <w:rtl/>
              </w:rPr>
            </w:pPr>
            <w:r>
              <w:rPr>
                <w:rFonts w:cs="David" w:hint="cs"/>
                <w:sz w:val="24"/>
                <w:szCs w:val="24"/>
                <w:rtl/>
              </w:rPr>
              <w:t>זכות</w:t>
            </w:r>
          </w:p>
        </w:tc>
      </w:tr>
      <w:tr w:rsidR="00130DD4" w:rsidTr="00130DD4">
        <w:tc>
          <w:tcPr>
            <w:tcW w:w="0" w:type="auto"/>
            <w:vAlign w:val="center"/>
          </w:tcPr>
          <w:p w:rsidR="00130DD4" w:rsidRPr="00130DD4" w:rsidRDefault="00130DD4" w:rsidP="00130DD4">
            <w:pPr>
              <w:spacing w:line="276" w:lineRule="auto"/>
              <w:rPr>
                <w:rFonts w:cs="David"/>
                <w:sz w:val="24"/>
                <w:szCs w:val="24"/>
                <w:rtl/>
              </w:rPr>
            </w:pPr>
            <w:r w:rsidRPr="00130DD4">
              <w:rPr>
                <w:rFonts w:cs="David" w:hint="cs"/>
                <w:sz w:val="24"/>
                <w:szCs w:val="24"/>
                <w:rtl/>
              </w:rPr>
              <w:t>ח' קרן הון</w:t>
            </w:r>
          </w:p>
        </w:tc>
        <w:tc>
          <w:tcPr>
            <w:tcW w:w="0" w:type="auto"/>
            <w:vAlign w:val="center"/>
          </w:tcPr>
          <w:p w:rsidR="00130DD4" w:rsidRDefault="00130DD4" w:rsidP="00130DD4">
            <w:pPr>
              <w:pStyle w:val="a7"/>
              <w:spacing w:line="276" w:lineRule="auto"/>
              <w:ind w:left="0"/>
              <w:rPr>
                <w:rFonts w:cs="David" w:hint="cs"/>
                <w:sz w:val="24"/>
                <w:szCs w:val="24"/>
                <w:rtl/>
              </w:rPr>
            </w:pPr>
            <w:r>
              <w:rPr>
                <w:rFonts w:cs="David" w:hint="cs"/>
                <w:sz w:val="24"/>
                <w:szCs w:val="24"/>
                <w:rtl/>
              </w:rPr>
              <w:t>14</w:t>
            </w:r>
          </w:p>
        </w:tc>
        <w:tc>
          <w:tcPr>
            <w:tcW w:w="0" w:type="auto"/>
            <w:vAlign w:val="center"/>
          </w:tcPr>
          <w:p w:rsidR="00130DD4" w:rsidRDefault="00130DD4" w:rsidP="00130DD4">
            <w:pPr>
              <w:pStyle w:val="a7"/>
              <w:spacing w:line="276" w:lineRule="auto"/>
              <w:ind w:left="0"/>
              <w:rPr>
                <w:rFonts w:cs="David" w:hint="cs"/>
                <w:sz w:val="24"/>
                <w:szCs w:val="24"/>
                <w:rtl/>
              </w:rPr>
            </w:pPr>
          </w:p>
        </w:tc>
      </w:tr>
      <w:tr w:rsidR="00130DD4" w:rsidTr="00130DD4">
        <w:tc>
          <w:tcPr>
            <w:tcW w:w="0" w:type="auto"/>
            <w:vAlign w:val="center"/>
          </w:tcPr>
          <w:p w:rsidR="00130DD4" w:rsidRPr="00130DD4" w:rsidRDefault="00130DD4" w:rsidP="00130DD4">
            <w:pPr>
              <w:spacing w:line="276" w:lineRule="auto"/>
              <w:rPr>
                <w:rFonts w:cs="David" w:hint="cs"/>
                <w:sz w:val="24"/>
                <w:szCs w:val="24"/>
                <w:rtl/>
              </w:rPr>
            </w:pPr>
            <w:r>
              <w:rPr>
                <w:rFonts w:cs="David" w:hint="cs"/>
                <w:sz w:val="24"/>
                <w:szCs w:val="24"/>
                <w:rtl/>
              </w:rPr>
              <w:t>מיסים נדחים לשלם</w:t>
            </w:r>
          </w:p>
        </w:tc>
        <w:tc>
          <w:tcPr>
            <w:tcW w:w="0" w:type="auto"/>
            <w:vAlign w:val="center"/>
          </w:tcPr>
          <w:p w:rsidR="00130DD4" w:rsidRDefault="00130DD4" w:rsidP="00130DD4">
            <w:pPr>
              <w:pStyle w:val="a7"/>
              <w:spacing w:line="276" w:lineRule="auto"/>
              <w:ind w:left="0"/>
              <w:rPr>
                <w:rFonts w:cs="David" w:hint="cs"/>
                <w:sz w:val="24"/>
                <w:szCs w:val="24"/>
                <w:rtl/>
              </w:rPr>
            </w:pPr>
            <w:r>
              <w:rPr>
                <w:rFonts w:cs="David" w:hint="cs"/>
                <w:sz w:val="24"/>
                <w:szCs w:val="24"/>
                <w:rtl/>
              </w:rPr>
              <w:t>6</w:t>
            </w:r>
          </w:p>
        </w:tc>
        <w:tc>
          <w:tcPr>
            <w:tcW w:w="0" w:type="auto"/>
            <w:vAlign w:val="center"/>
          </w:tcPr>
          <w:p w:rsidR="00130DD4" w:rsidRDefault="00130DD4" w:rsidP="00130DD4">
            <w:pPr>
              <w:pStyle w:val="a7"/>
              <w:spacing w:line="276" w:lineRule="auto"/>
              <w:ind w:left="0"/>
              <w:rPr>
                <w:rFonts w:cs="David" w:hint="cs"/>
                <w:sz w:val="24"/>
                <w:szCs w:val="24"/>
                <w:rtl/>
              </w:rPr>
            </w:pPr>
          </w:p>
        </w:tc>
      </w:tr>
      <w:tr w:rsidR="00130DD4" w:rsidTr="00130DD4">
        <w:tc>
          <w:tcPr>
            <w:tcW w:w="0" w:type="auto"/>
            <w:vAlign w:val="center"/>
          </w:tcPr>
          <w:p w:rsidR="00130DD4" w:rsidRDefault="00130DD4" w:rsidP="00130DD4">
            <w:pPr>
              <w:spacing w:line="276" w:lineRule="auto"/>
              <w:rPr>
                <w:rFonts w:cs="David" w:hint="cs"/>
                <w:sz w:val="24"/>
                <w:szCs w:val="24"/>
                <w:rtl/>
              </w:rPr>
            </w:pPr>
            <w:r>
              <w:rPr>
                <w:rFonts w:cs="David" w:hint="cs"/>
                <w:sz w:val="24"/>
                <w:szCs w:val="24"/>
                <w:rtl/>
              </w:rPr>
              <w:t xml:space="preserve">השקעה במניות </w:t>
            </w:r>
          </w:p>
        </w:tc>
        <w:tc>
          <w:tcPr>
            <w:tcW w:w="0" w:type="auto"/>
            <w:vAlign w:val="center"/>
          </w:tcPr>
          <w:p w:rsidR="00130DD4" w:rsidRDefault="00130DD4" w:rsidP="00130DD4">
            <w:pPr>
              <w:pStyle w:val="a7"/>
              <w:spacing w:line="276" w:lineRule="auto"/>
              <w:ind w:left="0"/>
              <w:rPr>
                <w:rFonts w:cs="David" w:hint="cs"/>
                <w:sz w:val="24"/>
                <w:szCs w:val="24"/>
                <w:rtl/>
              </w:rPr>
            </w:pPr>
          </w:p>
        </w:tc>
        <w:tc>
          <w:tcPr>
            <w:tcW w:w="0" w:type="auto"/>
            <w:vAlign w:val="center"/>
          </w:tcPr>
          <w:p w:rsidR="00130DD4" w:rsidRDefault="00130DD4" w:rsidP="00130DD4">
            <w:pPr>
              <w:pStyle w:val="a7"/>
              <w:spacing w:line="276" w:lineRule="auto"/>
              <w:ind w:left="0"/>
              <w:rPr>
                <w:rFonts w:cs="David" w:hint="cs"/>
                <w:sz w:val="24"/>
                <w:szCs w:val="24"/>
                <w:rtl/>
              </w:rPr>
            </w:pPr>
            <w:r>
              <w:rPr>
                <w:rFonts w:cs="David" w:hint="cs"/>
                <w:sz w:val="24"/>
                <w:szCs w:val="24"/>
                <w:rtl/>
              </w:rPr>
              <w:t>120</w:t>
            </w:r>
          </w:p>
        </w:tc>
      </w:tr>
      <w:tr w:rsidR="00130DD4" w:rsidTr="00130DD4">
        <w:tc>
          <w:tcPr>
            <w:tcW w:w="0" w:type="auto"/>
            <w:vAlign w:val="center"/>
          </w:tcPr>
          <w:p w:rsidR="00130DD4" w:rsidRDefault="00130DD4" w:rsidP="00130DD4">
            <w:pPr>
              <w:spacing w:line="276" w:lineRule="auto"/>
              <w:rPr>
                <w:rFonts w:cs="David" w:hint="cs"/>
                <w:sz w:val="24"/>
                <w:szCs w:val="24"/>
                <w:rtl/>
              </w:rPr>
            </w:pPr>
            <w:r>
              <w:rPr>
                <w:rFonts w:cs="David" w:hint="cs"/>
                <w:sz w:val="24"/>
                <w:szCs w:val="24"/>
                <w:rtl/>
              </w:rPr>
              <w:t>מזומן</w:t>
            </w:r>
          </w:p>
        </w:tc>
        <w:tc>
          <w:tcPr>
            <w:tcW w:w="0" w:type="auto"/>
            <w:vAlign w:val="center"/>
          </w:tcPr>
          <w:p w:rsidR="00130DD4" w:rsidRDefault="00130DD4" w:rsidP="00130DD4">
            <w:pPr>
              <w:pStyle w:val="a7"/>
              <w:spacing w:line="276" w:lineRule="auto"/>
              <w:ind w:left="0"/>
              <w:rPr>
                <w:rFonts w:cs="David" w:hint="cs"/>
                <w:sz w:val="24"/>
                <w:szCs w:val="24"/>
                <w:rtl/>
              </w:rPr>
            </w:pPr>
            <w:r>
              <w:rPr>
                <w:rFonts w:cs="David" w:hint="cs"/>
                <w:sz w:val="24"/>
                <w:szCs w:val="24"/>
                <w:rtl/>
              </w:rPr>
              <w:t>121</w:t>
            </w:r>
          </w:p>
        </w:tc>
        <w:tc>
          <w:tcPr>
            <w:tcW w:w="0" w:type="auto"/>
            <w:vAlign w:val="center"/>
          </w:tcPr>
          <w:p w:rsidR="00130DD4" w:rsidRDefault="00130DD4" w:rsidP="00130DD4">
            <w:pPr>
              <w:pStyle w:val="a7"/>
              <w:spacing w:line="276" w:lineRule="auto"/>
              <w:ind w:left="0"/>
              <w:rPr>
                <w:rFonts w:cs="David" w:hint="cs"/>
                <w:sz w:val="24"/>
                <w:szCs w:val="24"/>
                <w:rtl/>
              </w:rPr>
            </w:pPr>
          </w:p>
        </w:tc>
      </w:tr>
      <w:tr w:rsidR="00130DD4" w:rsidTr="00130DD4">
        <w:tc>
          <w:tcPr>
            <w:tcW w:w="0" w:type="auto"/>
            <w:vAlign w:val="center"/>
          </w:tcPr>
          <w:p w:rsidR="00130DD4" w:rsidRDefault="00130DD4" w:rsidP="00130DD4">
            <w:pPr>
              <w:spacing w:line="276" w:lineRule="auto"/>
              <w:rPr>
                <w:rFonts w:cs="David" w:hint="cs"/>
                <w:sz w:val="24"/>
                <w:szCs w:val="24"/>
                <w:rtl/>
              </w:rPr>
            </w:pPr>
            <w:r>
              <w:rPr>
                <w:rFonts w:cs="David" w:hint="cs"/>
                <w:sz w:val="24"/>
                <w:szCs w:val="24"/>
                <w:rtl/>
              </w:rPr>
              <w:t>הכנסות אחרות</w:t>
            </w:r>
          </w:p>
        </w:tc>
        <w:tc>
          <w:tcPr>
            <w:tcW w:w="0" w:type="auto"/>
            <w:vAlign w:val="center"/>
          </w:tcPr>
          <w:p w:rsidR="00130DD4" w:rsidRDefault="00130DD4" w:rsidP="00130DD4">
            <w:pPr>
              <w:pStyle w:val="a7"/>
              <w:spacing w:line="276" w:lineRule="auto"/>
              <w:ind w:left="0"/>
              <w:rPr>
                <w:rFonts w:cs="David" w:hint="cs"/>
                <w:sz w:val="24"/>
                <w:szCs w:val="24"/>
                <w:rtl/>
              </w:rPr>
            </w:pPr>
          </w:p>
        </w:tc>
        <w:tc>
          <w:tcPr>
            <w:tcW w:w="0" w:type="auto"/>
            <w:vAlign w:val="center"/>
          </w:tcPr>
          <w:p w:rsidR="00130DD4" w:rsidRDefault="00130DD4" w:rsidP="00130DD4">
            <w:pPr>
              <w:pStyle w:val="a7"/>
              <w:spacing w:line="276" w:lineRule="auto"/>
              <w:ind w:left="0"/>
              <w:rPr>
                <w:rFonts w:cs="David" w:hint="cs"/>
                <w:sz w:val="24"/>
                <w:szCs w:val="24"/>
                <w:rtl/>
              </w:rPr>
            </w:pPr>
            <w:r>
              <w:rPr>
                <w:rFonts w:cs="David" w:hint="cs"/>
                <w:sz w:val="24"/>
                <w:szCs w:val="24"/>
                <w:rtl/>
              </w:rPr>
              <w:t>21</w:t>
            </w:r>
          </w:p>
        </w:tc>
      </w:tr>
    </w:tbl>
    <w:p w:rsidR="00130DD4" w:rsidRDefault="00130DD4" w:rsidP="00130DD4">
      <w:pPr>
        <w:pStyle w:val="a7"/>
        <w:spacing w:line="360" w:lineRule="auto"/>
        <w:jc w:val="both"/>
        <w:rPr>
          <w:rFonts w:cs="David" w:hint="cs"/>
          <w:sz w:val="24"/>
          <w:szCs w:val="24"/>
          <w:rtl/>
        </w:rPr>
      </w:pPr>
    </w:p>
    <w:p w:rsidR="00130DD4" w:rsidRDefault="00130DD4" w:rsidP="00130DD4">
      <w:pPr>
        <w:pStyle w:val="a7"/>
        <w:spacing w:line="360" w:lineRule="auto"/>
        <w:jc w:val="both"/>
        <w:rPr>
          <w:rFonts w:cs="David" w:hint="cs"/>
          <w:sz w:val="24"/>
          <w:szCs w:val="24"/>
          <w:rtl/>
        </w:rPr>
      </w:pPr>
      <w:r>
        <w:rPr>
          <w:rFonts w:cs="David" w:hint="cs"/>
          <w:sz w:val="24"/>
          <w:szCs w:val="24"/>
          <w:rtl/>
        </w:rPr>
        <w:t xml:space="preserve">ז"א כשאני משערך קרקע אני לא מציג את זה כחלק ממד הביצועים בחברה לעומת זאת אם אני משקיע במניות אני כן מציג את זה כחלק מהרווח אז למה לדחות את זה בהתחלה ברווח כולל אחר ? הרי בסוף זה יזרום </w:t>
      </w:r>
      <w:proofErr w:type="spellStart"/>
      <w:r>
        <w:rPr>
          <w:rFonts w:cs="David" w:hint="cs"/>
          <w:sz w:val="24"/>
          <w:szCs w:val="24"/>
          <w:rtl/>
        </w:rPr>
        <w:t>לרוה"ס</w:t>
      </w:r>
      <w:proofErr w:type="spellEnd"/>
      <w:r>
        <w:rPr>
          <w:rFonts w:cs="David" w:hint="cs"/>
          <w:sz w:val="24"/>
          <w:szCs w:val="24"/>
          <w:rtl/>
        </w:rPr>
        <w:t xml:space="preserve">. התשובה היא שהחברות הגדולות לא רוצות שדברים שאין להן שליטה עליהם יגרמו לתנודתיות במחירי המניה שלהן בעקבות שינויים ברווח. תנודתיות במחירי המניה עלולים להרתיע משקיעים מהשקעה בחברות כיוון שזה מציג למשקיעים סיכון גדול מידי בהשקעה במניה שאין להם שליטה עליו ומשקיעים מעדיפים להשקיע במניות יציבות , לכן חברות התעקשו שהשקעות במכשירים הוניים יוצגו ברווח כולל אחר על מנת שלא ישפיעו על הרווח. </w:t>
      </w:r>
    </w:p>
    <w:p w:rsidR="00450F7A" w:rsidRDefault="00450F7A" w:rsidP="00130DD4">
      <w:pPr>
        <w:pStyle w:val="a7"/>
        <w:numPr>
          <w:ilvl w:val="0"/>
          <w:numId w:val="14"/>
        </w:numPr>
        <w:spacing w:line="360" w:lineRule="auto"/>
        <w:jc w:val="both"/>
        <w:rPr>
          <w:rFonts w:cs="David"/>
          <w:sz w:val="24"/>
          <w:szCs w:val="24"/>
        </w:rPr>
      </w:pPr>
      <w:r>
        <w:rPr>
          <w:rFonts w:cs="David" w:hint="cs"/>
          <w:b/>
          <w:bCs/>
          <w:sz w:val="24"/>
          <w:szCs w:val="24"/>
          <w:rtl/>
        </w:rPr>
        <w:t xml:space="preserve">שינויים אקטואריים בגין </w:t>
      </w:r>
      <w:proofErr w:type="spellStart"/>
      <w:r>
        <w:rPr>
          <w:rFonts w:cs="David" w:hint="cs"/>
          <w:b/>
          <w:bCs/>
          <w:sz w:val="24"/>
          <w:szCs w:val="24"/>
          <w:rtl/>
        </w:rPr>
        <w:t>תוכנית</w:t>
      </w:r>
      <w:proofErr w:type="spellEnd"/>
      <w:r>
        <w:rPr>
          <w:rFonts w:cs="David" w:hint="cs"/>
          <w:b/>
          <w:bCs/>
          <w:sz w:val="24"/>
          <w:szCs w:val="24"/>
          <w:rtl/>
        </w:rPr>
        <w:t xml:space="preserve"> להטבה מוגדרת</w:t>
      </w:r>
      <w:r w:rsidR="00130DD4" w:rsidRPr="00330883">
        <w:rPr>
          <w:rFonts w:cs="David" w:hint="cs"/>
          <w:b/>
          <w:bCs/>
          <w:sz w:val="24"/>
          <w:szCs w:val="24"/>
          <w:rtl/>
        </w:rPr>
        <w:t xml:space="preserve"> </w:t>
      </w:r>
      <w:r w:rsidR="00330883">
        <w:rPr>
          <w:rFonts w:cs="David"/>
          <w:b/>
          <w:bCs/>
          <w:sz w:val="24"/>
          <w:szCs w:val="24"/>
          <w:rtl/>
        </w:rPr>
        <w:t>–</w:t>
      </w:r>
      <w:r w:rsidR="00130DD4" w:rsidRPr="00330883">
        <w:rPr>
          <w:rFonts w:cs="David" w:hint="cs"/>
          <w:sz w:val="24"/>
          <w:szCs w:val="24"/>
          <w:rtl/>
        </w:rPr>
        <w:t xml:space="preserve"> </w:t>
      </w:r>
      <w:r w:rsidR="00330883" w:rsidRPr="00330883">
        <w:rPr>
          <w:rFonts w:cs="David" w:hint="cs"/>
          <w:sz w:val="24"/>
          <w:szCs w:val="24"/>
        </w:rPr>
        <w:t>IAS19</w:t>
      </w:r>
      <w:r w:rsidR="00330883" w:rsidRPr="00330883">
        <w:rPr>
          <w:rFonts w:cs="David" w:hint="cs"/>
          <w:sz w:val="24"/>
          <w:szCs w:val="24"/>
          <w:rtl/>
        </w:rPr>
        <w:t xml:space="preserve"> קובע שינויים אקטואריים בהתחייבות נטו בגין פנסיה, ושינויים בריביות באותם הסעיפים עלולים לגרום לקפיצות ולתנודתיות ברווחים ולכן הנהלות של חברות גדולות שאין להן שליטה על שיעור הריבית או על שינויים אקטואריים התעקשו ששינויים מהסוג הזה ייכנסו לרווח כולל אחר.</w:t>
      </w:r>
      <w:r>
        <w:rPr>
          <w:rFonts w:cs="David" w:hint="cs"/>
          <w:sz w:val="24"/>
          <w:szCs w:val="24"/>
          <w:rtl/>
        </w:rPr>
        <w:t xml:space="preserve"> שינויים אלו נשארים ברווח כולל והחברה יכולה לבחור אם להעביר את הקרן הזאת לעודפים. </w:t>
      </w:r>
    </w:p>
    <w:p w:rsidR="00130DD4" w:rsidRDefault="00450F7A" w:rsidP="00130DD4">
      <w:pPr>
        <w:pStyle w:val="a7"/>
        <w:numPr>
          <w:ilvl w:val="0"/>
          <w:numId w:val="14"/>
        </w:numPr>
        <w:spacing w:line="360" w:lineRule="auto"/>
        <w:jc w:val="both"/>
        <w:rPr>
          <w:rFonts w:cs="David"/>
          <w:sz w:val="24"/>
          <w:szCs w:val="24"/>
        </w:rPr>
      </w:pPr>
      <w:r>
        <w:rPr>
          <w:rFonts w:cs="David" w:hint="cs"/>
          <w:b/>
          <w:bCs/>
          <w:sz w:val="24"/>
          <w:szCs w:val="24"/>
          <w:rtl/>
        </w:rPr>
        <w:lastRenderedPageBreak/>
        <w:t xml:space="preserve">הפרשי תרגום </w:t>
      </w:r>
      <w:r>
        <w:rPr>
          <w:rFonts w:cs="David"/>
          <w:b/>
          <w:bCs/>
          <w:sz w:val="24"/>
          <w:szCs w:val="24"/>
          <w:rtl/>
        </w:rPr>
        <w:t>–</w:t>
      </w:r>
      <w:r>
        <w:rPr>
          <w:rFonts w:cs="David" w:hint="cs"/>
          <w:sz w:val="24"/>
          <w:szCs w:val="24"/>
          <w:rtl/>
        </w:rPr>
        <w:t xml:space="preserve"> </w:t>
      </w:r>
      <w:r>
        <w:rPr>
          <w:rFonts w:cs="David" w:hint="cs"/>
          <w:sz w:val="24"/>
          <w:szCs w:val="24"/>
        </w:rPr>
        <w:t>IAS2</w:t>
      </w:r>
      <w:r>
        <w:rPr>
          <w:rFonts w:cs="David"/>
          <w:sz w:val="24"/>
          <w:szCs w:val="24"/>
        </w:rPr>
        <w:t>1</w:t>
      </w:r>
      <w:r>
        <w:rPr>
          <w:rFonts w:cs="David" w:hint="cs"/>
          <w:sz w:val="24"/>
          <w:szCs w:val="24"/>
          <w:rtl/>
        </w:rPr>
        <w:t xml:space="preserve"> </w:t>
      </w:r>
      <w:r>
        <w:rPr>
          <w:rFonts w:cs="David"/>
          <w:sz w:val="24"/>
          <w:szCs w:val="24"/>
          <w:rtl/>
        </w:rPr>
        <w:t>–</w:t>
      </w:r>
      <w:r>
        <w:rPr>
          <w:rFonts w:cs="David" w:hint="cs"/>
          <w:sz w:val="24"/>
          <w:szCs w:val="24"/>
          <w:rtl/>
        </w:rPr>
        <w:t xml:space="preserve"> יש לי חברת בת שאני מחזיק בה 100% בארה"ב וההון שלה הוא מיליון דולר </w:t>
      </w:r>
      <w:proofErr w:type="spellStart"/>
      <w:r>
        <w:rPr>
          <w:rFonts w:cs="David" w:hint="cs"/>
          <w:sz w:val="24"/>
          <w:szCs w:val="24"/>
          <w:rtl/>
        </w:rPr>
        <w:t>ושע"ח</w:t>
      </w:r>
      <w:proofErr w:type="spellEnd"/>
      <w:r>
        <w:rPr>
          <w:rFonts w:cs="David" w:hint="cs"/>
          <w:sz w:val="24"/>
          <w:szCs w:val="24"/>
          <w:rtl/>
        </w:rPr>
        <w:t xml:space="preserve"> הוא 4 אז לחברת האם שההשקעה מוצגת אצלה בשקל לפי שיטת האקוויטי אז ההשקעה מוצגת אצלה ב-4 מיליון ₪ כאשר שע"ח ירד ל-3 בסוף השנה ההשקעה צריכה להיות מוצגת אצלי ב-3 מיליון ₪ בעבר השינויים הללו זרמו </w:t>
      </w:r>
      <w:proofErr w:type="spellStart"/>
      <w:r>
        <w:rPr>
          <w:rFonts w:cs="David" w:hint="cs"/>
          <w:sz w:val="24"/>
          <w:szCs w:val="24"/>
          <w:rtl/>
        </w:rPr>
        <w:t>לרוה"ס</w:t>
      </w:r>
      <w:proofErr w:type="spellEnd"/>
      <w:r>
        <w:rPr>
          <w:rFonts w:cs="David" w:hint="cs"/>
          <w:sz w:val="24"/>
          <w:szCs w:val="24"/>
          <w:rtl/>
        </w:rPr>
        <w:t xml:space="preserve"> וזה גרם לתנודתיות גדולה ברווחי החברה וזה הפריע מאד לחברות האמריקאיות לכן הפעילו לחצים ואז נולד תקן אמריקאי </w:t>
      </w:r>
      <w:r>
        <w:rPr>
          <w:rFonts w:cs="David" w:hint="cs"/>
          <w:sz w:val="24"/>
          <w:szCs w:val="24"/>
        </w:rPr>
        <w:t>FAS52</w:t>
      </w:r>
      <w:r>
        <w:rPr>
          <w:rFonts w:cs="David" w:hint="cs"/>
          <w:sz w:val="24"/>
          <w:szCs w:val="24"/>
          <w:rtl/>
        </w:rPr>
        <w:t xml:space="preserve"> שקבע כי יש להכיר בקרן הון בגין הפרשי תרגום.  </w:t>
      </w:r>
      <w:r w:rsidR="00330883" w:rsidRPr="00330883">
        <w:rPr>
          <w:rFonts w:cs="David" w:hint="cs"/>
          <w:sz w:val="24"/>
          <w:szCs w:val="24"/>
          <w:rtl/>
        </w:rPr>
        <w:t xml:space="preserve"> </w:t>
      </w:r>
      <w:r w:rsidR="00130DD4" w:rsidRPr="00330883">
        <w:rPr>
          <w:rFonts w:cs="David" w:hint="cs"/>
          <w:sz w:val="24"/>
          <w:szCs w:val="24"/>
          <w:rtl/>
        </w:rPr>
        <w:t xml:space="preserve"> </w:t>
      </w:r>
    </w:p>
    <w:p w:rsidR="00330883" w:rsidRDefault="00C543B1" w:rsidP="00130DD4">
      <w:pPr>
        <w:pStyle w:val="a7"/>
        <w:numPr>
          <w:ilvl w:val="0"/>
          <w:numId w:val="14"/>
        </w:numPr>
        <w:spacing w:line="360" w:lineRule="auto"/>
        <w:jc w:val="both"/>
        <w:rPr>
          <w:rFonts w:cs="David"/>
          <w:sz w:val="24"/>
          <w:szCs w:val="24"/>
        </w:rPr>
      </w:pPr>
      <w:r>
        <w:rPr>
          <w:rFonts w:cs="David" w:hint="cs"/>
          <w:b/>
          <w:bCs/>
          <w:sz w:val="24"/>
          <w:szCs w:val="24"/>
          <w:rtl/>
        </w:rPr>
        <w:t xml:space="preserve">עסקאות גידור / הגנה </w:t>
      </w:r>
      <w:r>
        <w:rPr>
          <w:rFonts w:cs="David"/>
          <w:b/>
          <w:bCs/>
          <w:sz w:val="24"/>
          <w:szCs w:val="24"/>
          <w:rtl/>
        </w:rPr>
        <w:t>–</w:t>
      </w:r>
      <w:r>
        <w:rPr>
          <w:rFonts w:cs="David" w:hint="cs"/>
          <w:b/>
          <w:bCs/>
          <w:sz w:val="24"/>
          <w:szCs w:val="24"/>
          <w:rtl/>
        </w:rPr>
        <w:t xml:space="preserve"> </w:t>
      </w:r>
      <w:r>
        <w:rPr>
          <w:rFonts w:cs="David" w:hint="cs"/>
          <w:sz w:val="24"/>
          <w:szCs w:val="24"/>
        </w:rPr>
        <w:t>IAS3</w:t>
      </w:r>
      <w:r>
        <w:rPr>
          <w:rFonts w:cs="David"/>
          <w:sz w:val="24"/>
          <w:szCs w:val="24"/>
        </w:rPr>
        <w:t>9</w:t>
      </w:r>
      <w:r>
        <w:rPr>
          <w:rFonts w:cs="David" w:hint="cs"/>
          <w:sz w:val="24"/>
          <w:szCs w:val="24"/>
          <w:rtl/>
        </w:rPr>
        <w:t xml:space="preserve"> </w:t>
      </w:r>
      <w:r>
        <w:rPr>
          <w:rFonts w:cs="David"/>
          <w:sz w:val="24"/>
          <w:szCs w:val="24"/>
          <w:rtl/>
        </w:rPr>
        <w:t>–</w:t>
      </w:r>
      <w:r>
        <w:rPr>
          <w:rFonts w:cs="David" w:hint="cs"/>
          <w:sz w:val="24"/>
          <w:szCs w:val="24"/>
          <w:rtl/>
        </w:rPr>
        <w:t xml:space="preserve"> שערוך פריט מגן בגידור </w:t>
      </w:r>
      <w:proofErr w:type="spellStart"/>
      <w:r>
        <w:rPr>
          <w:rFonts w:cs="David" w:hint="cs"/>
          <w:sz w:val="24"/>
          <w:szCs w:val="24"/>
          <w:rtl/>
        </w:rPr>
        <w:t>תזמ"ז</w:t>
      </w:r>
      <w:proofErr w:type="spellEnd"/>
      <w:r>
        <w:rPr>
          <w:rFonts w:cs="David" w:hint="cs"/>
          <w:sz w:val="24"/>
          <w:szCs w:val="24"/>
          <w:rtl/>
        </w:rPr>
        <w:t xml:space="preserve"> </w:t>
      </w:r>
      <w:r>
        <w:rPr>
          <w:rFonts w:cs="David"/>
          <w:sz w:val="24"/>
          <w:szCs w:val="24"/>
          <w:rtl/>
        </w:rPr>
        <w:t>–</w:t>
      </w:r>
      <w:r>
        <w:rPr>
          <w:rFonts w:cs="David" w:hint="cs"/>
          <w:sz w:val="24"/>
          <w:szCs w:val="24"/>
          <w:rtl/>
        </w:rPr>
        <w:t xml:space="preserve"> נניח שחברת טמפו המייצרת בירה יודעת ב-01/11/13 שהיא צריכה לקנות עוד 4 חודשים 100 טון שעורה והיא חוששת שמחיר השעורה יעלה ואז השעורה תעלה לה יותר והיא תצטרך להעלות מחירים וזה עלול לפגוע בה בעתיד והחברה רוצה להגן על עצמה היום מפני העסקה העתידית. ז"א היא מעוניינת לבצע עסקה שלא כוללת את רכישת השעורה כרגע אלא היא רוכשת אופציות בבורסה בחו"ל של אופציות עתידיות על הסחורות . היא צריכה את השעורה עוד 4 חודשים והאופציה היא לעוד 6 חודשים . נניח שמחיר השעורה עלה את האופציות שהיא קנתה ב-01/11/13 במציגים במאזן בדצמבר 2013 לפי </w:t>
      </w:r>
      <w:proofErr w:type="spellStart"/>
      <w:r>
        <w:rPr>
          <w:rFonts w:cs="David" w:hint="cs"/>
          <w:sz w:val="24"/>
          <w:szCs w:val="24"/>
          <w:rtl/>
        </w:rPr>
        <w:t>השוו"ה</w:t>
      </w:r>
      <w:proofErr w:type="spellEnd"/>
      <w:r>
        <w:rPr>
          <w:rFonts w:cs="David" w:hint="cs"/>
          <w:sz w:val="24"/>
          <w:szCs w:val="24"/>
          <w:rtl/>
        </w:rPr>
        <w:t xml:space="preserve"> בגלל שמחיר השעורה עלה שווי האופציה עלה ז"א היא צריכה להכיר בגידול </w:t>
      </w:r>
      <w:proofErr w:type="spellStart"/>
      <w:r>
        <w:rPr>
          <w:rFonts w:cs="David" w:hint="cs"/>
          <w:sz w:val="24"/>
          <w:szCs w:val="24"/>
          <w:rtl/>
        </w:rPr>
        <w:t>בשוו"ה</w:t>
      </w:r>
      <w:proofErr w:type="spellEnd"/>
      <w:r>
        <w:rPr>
          <w:rFonts w:cs="David" w:hint="cs"/>
          <w:sz w:val="24"/>
          <w:szCs w:val="24"/>
          <w:rtl/>
        </w:rPr>
        <w:t xml:space="preserve"> והרי היא קנתה את האופציות לא כדי ליצור רווח אלא כדי להגן על עצמה מפני עליית מחירים. באמצעות האופציה היא רוצה להגן על עצמה מפני עליית מחיר השעורה את השערוך הזה היא זוקפת לרווח כולל אחר . הרעיון כאן הוא שהביצועים של החברה לא נמדדים במסחר באופציות אלא במכירת הבירה אותה היא מייצרת ז"א היא זוקפת את הרווח התיאורטי הזה לרווח כולל אחר כי היא לא עשתה את זה לצורך יצירת הרווח אלא לצורך שמירה על רמת המחירים שלה במכירת הבירה . </w:t>
      </w:r>
    </w:p>
    <w:p w:rsidR="008D222D" w:rsidRPr="00330883" w:rsidRDefault="008D222D" w:rsidP="00130DD4">
      <w:pPr>
        <w:pStyle w:val="a7"/>
        <w:numPr>
          <w:ilvl w:val="0"/>
          <w:numId w:val="14"/>
        </w:numPr>
        <w:spacing w:line="360" w:lineRule="auto"/>
        <w:jc w:val="both"/>
        <w:rPr>
          <w:rFonts w:cs="David" w:hint="cs"/>
          <w:sz w:val="24"/>
          <w:szCs w:val="24"/>
          <w:rtl/>
        </w:rPr>
      </w:pPr>
      <w:r>
        <w:rPr>
          <w:rFonts w:cs="David" w:hint="cs"/>
          <w:b/>
          <w:bCs/>
          <w:sz w:val="24"/>
          <w:szCs w:val="24"/>
          <w:rtl/>
        </w:rPr>
        <w:t xml:space="preserve">שערוך אג"ח לשלם כתוצאה מעליית סיכון האשראי של החברה </w:t>
      </w:r>
      <w:r>
        <w:rPr>
          <w:rFonts w:cs="David"/>
          <w:b/>
          <w:bCs/>
          <w:sz w:val="24"/>
          <w:szCs w:val="24"/>
          <w:rtl/>
        </w:rPr>
        <w:t>–</w:t>
      </w:r>
      <w:r>
        <w:rPr>
          <w:rFonts w:cs="David" w:hint="cs"/>
          <w:sz w:val="24"/>
          <w:szCs w:val="24"/>
          <w:rtl/>
        </w:rPr>
        <w:t xml:space="preserve"> </w:t>
      </w:r>
      <w:r>
        <w:rPr>
          <w:rFonts w:cs="David" w:hint="cs"/>
          <w:sz w:val="24"/>
          <w:szCs w:val="24"/>
        </w:rPr>
        <w:t>IAS1</w:t>
      </w:r>
      <w:r>
        <w:rPr>
          <w:rFonts w:cs="David" w:hint="cs"/>
          <w:sz w:val="24"/>
          <w:szCs w:val="24"/>
          <w:rtl/>
        </w:rPr>
        <w:t xml:space="preserve">- </w:t>
      </w:r>
      <w:r>
        <w:rPr>
          <w:rFonts w:cs="David" w:hint="cs"/>
          <w:sz w:val="24"/>
          <w:szCs w:val="24"/>
        </w:rPr>
        <w:t>IAS39</w:t>
      </w:r>
      <w:r>
        <w:rPr>
          <w:rFonts w:cs="David" w:hint="cs"/>
          <w:sz w:val="24"/>
          <w:szCs w:val="24"/>
          <w:rtl/>
        </w:rPr>
        <w:t xml:space="preserve"> אומר כי חברה שמנפיקה אג"ח יכולה במקרים מסוימים לרשום את ההתחייבות לפי </w:t>
      </w:r>
      <w:proofErr w:type="spellStart"/>
      <w:r>
        <w:rPr>
          <w:rFonts w:cs="David" w:hint="cs"/>
          <w:sz w:val="24"/>
          <w:szCs w:val="24"/>
          <w:rtl/>
        </w:rPr>
        <w:t>שוו"ה</w:t>
      </w:r>
      <w:proofErr w:type="spellEnd"/>
      <w:r w:rsidR="00C91566">
        <w:rPr>
          <w:rFonts w:cs="David" w:hint="cs"/>
          <w:sz w:val="24"/>
          <w:szCs w:val="24"/>
          <w:rtl/>
        </w:rPr>
        <w:t xml:space="preserve"> זה מותר במקרים שזה יוצר הקבלה נאותה יותר בין ההתחייבויות של החברה לנכסים. </w:t>
      </w:r>
      <w:bookmarkStart w:id="0" w:name="_GoBack"/>
      <w:bookmarkEnd w:id="0"/>
    </w:p>
    <w:p w:rsidR="00170712" w:rsidRPr="00170712" w:rsidRDefault="00170712" w:rsidP="00170712">
      <w:pPr>
        <w:spacing w:line="360" w:lineRule="auto"/>
        <w:jc w:val="both"/>
        <w:rPr>
          <w:rFonts w:cs="David"/>
          <w:sz w:val="24"/>
          <w:szCs w:val="24"/>
          <w:rtl/>
        </w:rPr>
      </w:pPr>
    </w:p>
    <w:p w:rsidR="00170712" w:rsidRPr="00170712" w:rsidRDefault="00170712" w:rsidP="00170712">
      <w:pPr>
        <w:spacing w:line="360" w:lineRule="auto"/>
        <w:jc w:val="both"/>
        <w:rPr>
          <w:rFonts w:cs="David"/>
          <w:b/>
          <w:bCs/>
          <w:sz w:val="24"/>
          <w:szCs w:val="24"/>
          <w:u w:val="single"/>
        </w:rPr>
      </w:pPr>
    </w:p>
    <w:sectPr w:rsidR="00170712" w:rsidRPr="00170712" w:rsidSect="006D5CC1">
      <w:headerReference w:type="default" r:id="rId8"/>
      <w:footerReference w:type="default" r:id="rId9"/>
      <w:pgSz w:w="11906" w:h="16838"/>
      <w:pgMar w:top="1440" w:right="1800" w:bottom="1440" w:left="1800" w:header="708" w:footer="708" w:gutter="0"/>
      <w:pgNumType w:start="1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1F" w:rsidRDefault="00B13B1F" w:rsidP="00F172F9">
      <w:pPr>
        <w:spacing w:after="0" w:line="240" w:lineRule="auto"/>
      </w:pPr>
      <w:r>
        <w:separator/>
      </w:r>
    </w:p>
  </w:endnote>
  <w:endnote w:type="continuationSeparator" w:id="0">
    <w:p w:rsidR="00B13B1F" w:rsidRDefault="00B13B1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C91566" w:rsidRPr="00C91566">
          <w:rPr>
            <w:noProof/>
            <w:rtl/>
            <w:lang w:val="he-IL"/>
          </w:rPr>
          <w:t>20</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1F" w:rsidRDefault="00B13B1F" w:rsidP="00F172F9">
      <w:pPr>
        <w:spacing w:after="0" w:line="240" w:lineRule="auto"/>
      </w:pPr>
      <w:r>
        <w:separator/>
      </w:r>
    </w:p>
  </w:footnote>
  <w:footnote w:type="continuationSeparator" w:id="0">
    <w:p w:rsidR="00B13B1F" w:rsidRDefault="00B13B1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9C399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6D5CC1">
      <w:rPr>
        <w:rFonts w:cs="David" w:hint="cs"/>
        <w:sz w:val="24"/>
        <w:szCs w:val="24"/>
        <w:rtl/>
      </w:rPr>
      <w:t>28</w:t>
    </w:r>
    <w:r>
      <w:rPr>
        <w:rFonts w:cs="David" w:hint="cs"/>
        <w:sz w:val="24"/>
        <w:szCs w:val="24"/>
        <w:rtl/>
      </w:rPr>
      <w:t>/</w:t>
    </w:r>
    <w:r w:rsidR="00193A30">
      <w:rPr>
        <w:rFonts w:cs="David" w:hint="cs"/>
        <w:sz w:val="24"/>
        <w:szCs w:val="24"/>
        <w:rtl/>
      </w:rPr>
      <w:t>09</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75261"/>
    <w:multiLevelType w:val="hybridMultilevel"/>
    <w:tmpl w:val="E09C76F6"/>
    <w:lvl w:ilvl="0" w:tplc="82C0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94498"/>
    <w:multiLevelType w:val="hybridMultilevel"/>
    <w:tmpl w:val="58DE9AE6"/>
    <w:lvl w:ilvl="0" w:tplc="EAC659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444BF"/>
    <w:multiLevelType w:val="hybridMultilevel"/>
    <w:tmpl w:val="47B42F3A"/>
    <w:lvl w:ilvl="0" w:tplc="24B0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C5ACE"/>
    <w:multiLevelType w:val="hybridMultilevel"/>
    <w:tmpl w:val="781E939A"/>
    <w:lvl w:ilvl="0" w:tplc="05D4D6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21BB7"/>
    <w:multiLevelType w:val="hybridMultilevel"/>
    <w:tmpl w:val="8E36418C"/>
    <w:lvl w:ilvl="0" w:tplc="D8945D9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25542"/>
    <w:multiLevelType w:val="hybridMultilevel"/>
    <w:tmpl w:val="8C004774"/>
    <w:lvl w:ilvl="0" w:tplc="AAF0367A">
      <w:start w:val="1"/>
      <w:numFmt w:val="hebrew1"/>
      <w:lvlText w:val="%1."/>
      <w:lvlJc w:val="center"/>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04991"/>
    <w:multiLevelType w:val="hybridMultilevel"/>
    <w:tmpl w:val="224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C077D"/>
    <w:multiLevelType w:val="hybridMultilevel"/>
    <w:tmpl w:val="10DAE236"/>
    <w:lvl w:ilvl="0" w:tplc="E6A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97F5D"/>
    <w:multiLevelType w:val="hybridMultilevel"/>
    <w:tmpl w:val="777C4B0C"/>
    <w:lvl w:ilvl="0" w:tplc="59A0A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81810"/>
    <w:multiLevelType w:val="hybridMultilevel"/>
    <w:tmpl w:val="D71043CA"/>
    <w:lvl w:ilvl="0" w:tplc="F586D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732E2F"/>
    <w:multiLevelType w:val="hybridMultilevel"/>
    <w:tmpl w:val="BF28F3B2"/>
    <w:lvl w:ilvl="0" w:tplc="58760A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05BAC"/>
    <w:multiLevelType w:val="hybridMultilevel"/>
    <w:tmpl w:val="18B2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A6BF2"/>
    <w:multiLevelType w:val="hybridMultilevel"/>
    <w:tmpl w:val="C2445DCA"/>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50808"/>
    <w:multiLevelType w:val="hybridMultilevel"/>
    <w:tmpl w:val="9336114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6"/>
  </w:num>
  <w:num w:numId="5">
    <w:abstractNumId w:val="0"/>
  </w:num>
  <w:num w:numId="6">
    <w:abstractNumId w:val="8"/>
  </w:num>
  <w:num w:numId="7">
    <w:abstractNumId w:val="4"/>
  </w:num>
  <w:num w:numId="8">
    <w:abstractNumId w:val="2"/>
  </w:num>
  <w:num w:numId="9">
    <w:abstractNumId w:val="5"/>
  </w:num>
  <w:num w:numId="10">
    <w:abstractNumId w:val="12"/>
  </w:num>
  <w:num w:numId="11">
    <w:abstractNumId w:val="11"/>
  </w:num>
  <w:num w:numId="12">
    <w:abstractNumId w:val="13"/>
  </w:num>
  <w:num w:numId="13">
    <w:abstractNumId w:val="9"/>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07AD0"/>
    <w:rsid w:val="0001041C"/>
    <w:rsid w:val="00012912"/>
    <w:rsid w:val="00014EBF"/>
    <w:rsid w:val="0002110F"/>
    <w:rsid w:val="00022F40"/>
    <w:rsid w:val="00026152"/>
    <w:rsid w:val="00034437"/>
    <w:rsid w:val="0003559A"/>
    <w:rsid w:val="000363BD"/>
    <w:rsid w:val="0003796F"/>
    <w:rsid w:val="00041671"/>
    <w:rsid w:val="0004273E"/>
    <w:rsid w:val="0004387F"/>
    <w:rsid w:val="00056DB1"/>
    <w:rsid w:val="00057726"/>
    <w:rsid w:val="00062979"/>
    <w:rsid w:val="00066BD5"/>
    <w:rsid w:val="0007060D"/>
    <w:rsid w:val="000711EB"/>
    <w:rsid w:val="000725AB"/>
    <w:rsid w:val="000806F0"/>
    <w:rsid w:val="00086A1F"/>
    <w:rsid w:val="00090ADB"/>
    <w:rsid w:val="000926E7"/>
    <w:rsid w:val="000945A1"/>
    <w:rsid w:val="00094D10"/>
    <w:rsid w:val="000A25BC"/>
    <w:rsid w:val="000B2494"/>
    <w:rsid w:val="000B52B7"/>
    <w:rsid w:val="000C04AC"/>
    <w:rsid w:val="000C1C8E"/>
    <w:rsid w:val="000C4C1E"/>
    <w:rsid w:val="000D33D4"/>
    <w:rsid w:val="000D3873"/>
    <w:rsid w:val="000D3CF8"/>
    <w:rsid w:val="000D3D75"/>
    <w:rsid w:val="000D4AA1"/>
    <w:rsid w:val="000D5807"/>
    <w:rsid w:val="000E059B"/>
    <w:rsid w:val="000E0AF4"/>
    <w:rsid w:val="000E2D7F"/>
    <w:rsid w:val="000E4EF4"/>
    <w:rsid w:val="000E599F"/>
    <w:rsid w:val="000E6B9F"/>
    <w:rsid w:val="000E79CE"/>
    <w:rsid w:val="000F087B"/>
    <w:rsid w:val="000F18A0"/>
    <w:rsid w:val="000F5666"/>
    <w:rsid w:val="000F5E3D"/>
    <w:rsid w:val="000F7F30"/>
    <w:rsid w:val="001040B2"/>
    <w:rsid w:val="00105D60"/>
    <w:rsid w:val="00106CF4"/>
    <w:rsid w:val="00107C72"/>
    <w:rsid w:val="001107F0"/>
    <w:rsid w:val="00114265"/>
    <w:rsid w:val="001274E4"/>
    <w:rsid w:val="00130DD4"/>
    <w:rsid w:val="00137FEC"/>
    <w:rsid w:val="001416AE"/>
    <w:rsid w:val="00141C1F"/>
    <w:rsid w:val="001528B5"/>
    <w:rsid w:val="00155BF9"/>
    <w:rsid w:val="00170302"/>
    <w:rsid w:val="00170712"/>
    <w:rsid w:val="001732EE"/>
    <w:rsid w:val="00174649"/>
    <w:rsid w:val="00174761"/>
    <w:rsid w:val="00177F4F"/>
    <w:rsid w:val="00183855"/>
    <w:rsid w:val="00193A30"/>
    <w:rsid w:val="001A3F0D"/>
    <w:rsid w:val="001A3F35"/>
    <w:rsid w:val="001A662B"/>
    <w:rsid w:val="001A6D02"/>
    <w:rsid w:val="001B059C"/>
    <w:rsid w:val="001B3CBA"/>
    <w:rsid w:val="001B4EFC"/>
    <w:rsid w:val="001C0BB8"/>
    <w:rsid w:val="001C2B75"/>
    <w:rsid w:val="001C2FE9"/>
    <w:rsid w:val="001C3A18"/>
    <w:rsid w:val="001D5043"/>
    <w:rsid w:val="001D7530"/>
    <w:rsid w:val="001E5578"/>
    <w:rsid w:val="001E6DAB"/>
    <w:rsid w:val="001E7D89"/>
    <w:rsid w:val="001F15BC"/>
    <w:rsid w:val="001F1958"/>
    <w:rsid w:val="001F2CD1"/>
    <w:rsid w:val="001F380B"/>
    <w:rsid w:val="001F479D"/>
    <w:rsid w:val="002024C1"/>
    <w:rsid w:val="002135F4"/>
    <w:rsid w:val="00214B39"/>
    <w:rsid w:val="00214B4C"/>
    <w:rsid w:val="00216BD7"/>
    <w:rsid w:val="00225BB1"/>
    <w:rsid w:val="002315F9"/>
    <w:rsid w:val="00242211"/>
    <w:rsid w:val="0024370B"/>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C20BB"/>
    <w:rsid w:val="002D6599"/>
    <w:rsid w:val="002E0EC1"/>
    <w:rsid w:val="002E2812"/>
    <w:rsid w:val="002E35C8"/>
    <w:rsid w:val="002E5AD5"/>
    <w:rsid w:val="002F1E49"/>
    <w:rsid w:val="00303786"/>
    <w:rsid w:val="00304704"/>
    <w:rsid w:val="003054D8"/>
    <w:rsid w:val="00314416"/>
    <w:rsid w:val="00316565"/>
    <w:rsid w:val="003170CB"/>
    <w:rsid w:val="003202F6"/>
    <w:rsid w:val="00322990"/>
    <w:rsid w:val="00330883"/>
    <w:rsid w:val="0034091B"/>
    <w:rsid w:val="0034363A"/>
    <w:rsid w:val="003454EF"/>
    <w:rsid w:val="0034605D"/>
    <w:rsid w:val="003521B1"/>
    <w:rsid w:val="00353B55"/>
    <w:rsid w:val="00357D7E"/>
    <w:rsid w:val="0036157D"/>
    <w:rsid w:val="00361C9D"/>
    <w:rsid w:val="00363714"/>
    <w:rsid w:val="0036592B"/>
    <w:rsid w:val="00370064"/>
    <w:rsid w:val="003701A4"/>
    <w:rsid w:val="00370E32"/>
    <w:rsid w:val="003716B5"/>
    <w:rsid w:val="0037452A"/>
    <w:rsid w:val="0039030F"/>
    <w:rsid w:val="00394C48"/>
    <w:rsid w:val="00395B92"/>
    <w:rsid w:val="00396E59"/>
    <w:rsid w:val="003A02AF"/>
    <w:rsid w:val="003A3AEE"/>
    <w:rsid w:val="003A4E5D"/>
    <w:rsid w:val="003B06B6"/>
    <w:rsid w:val="003B16E1"/>
    <w:rsid w:val="003B1C43"/>
    <w:rsid w:val="003B23D6"/>
    <w:rsid w:val="003C1BFB"/>
    <w:rsid w:val="003C2130"/>
    <w:rsid w:val="003C7FE8"/>
    <w:rsid w:val="003D3219"/>
    <w:rsid w:val="003D7939"/>
    <w:rsid w:val="003E4BBC"/>
    <w:rsid w:val="003E63AD"/>
    <w:rsid w:val="003F00CA"/>
    <w:rsid w:val="003F7053"/>
    <w:rsid w:val="00400039"/>
    <w:rsid w:val="00400434"/>
    <w:rsid w:val="00401692"/>
    <w:rsid w:val="00404A50"/>
    <w:rsid w:val="0041337A"/>
    <w:rsid w:val="00413CD9"/>
    <w:rsid w:val="00415D40"/>
    <w:rsid w:val="00416CE1"/>
    <w:rsid w:val="004175CF"/>
    <w:rsid w:val="004241F9"/>
    <w:rsid w:val="00424B3B"/>
    <w:rsid w:val="00424CDA"/>
    <w:rsid w:val="00424DA0"/>
    <w:rsid w:val="00425E57"/>
    <w:rsid w:val="00431510"/>
    <w:rsid w:val="00431CCA"/>
    <w:rsid w:val="0043674D"/>
    <w:rsid w:val="004369B3"/>
    <w:rsid w:val="00441C02"/>
    <w:rsid w:val="00442803"/>
    <w:rsid w:val="004441F2"/>
    <w:rsid w:val="004466F2"/>
    <w:rsid w:val="00447807"/>
    <w:rsid w:val="00447CBD"/>
    <w:rsid w:val="00450F7A"/>
    <w:rsid w:val="00451F23"/>
    <w:rsid w:val="0045471B"/>
    <w:rsid w:val="00456D14"/>
    <w:rsid w:val="004642BF"/>
    <w:rsid w:val="004661B0"/>
    <w:rsid w:val="004666DB"/>
    <w:rsid w:val="00472E0B"/>
    <w:rsid w:val="00473877"/>
    <w:rsid w:val="0047642E"/>
    <w:rsid w:val="00476B71"/>
    <w:rsid w:val="00477285"/>
    <w:rsid w:val="00480EA4"/>
    <w:rsid w:val="00481A21"/>
    <w:rsid w:val="00485269"/>
    <w:rsid w:val="00485354"/>
    <w:rsid w:val="004949B1"/>
    <w:rsid w:val="00497449"/>
    <w:rsid w:val="004A1D72"/>
    <w:rsid w:val="004B0A8D"/>
    <w:rsid w:val="004B240E"/>
    <w:rsid w:val="004B46D2"/>
    <w:rsid w:val="004B5A83"/>
    <w:rsid w:val="004B6D28"/>
    <w:rsid w:val="004B738A"/>
    <w:rsid w:val="004B7889"/>
    <w:rsid w:val="004C11EE"/>
    <w:rsid w:val="004C473C"/>
    <w:rsid w:val="004C6A17"/>
    <w:rsid w:val="004C777B"/>
    <w:rsid w:val="004D1A4F"/>
    <w:rsid w:val="004D7AF2"/>
    <w:rsid w:val="004E1233"/>
    <w:rsid w:val="004E2F90"/>
    <w:rsid w:val="004E5619"/>
    <w:rsid w:val="004E653C"/>
    <w:rsid w:val="004F09DC"/>
    <w:rsid w:val="004F1B3C"/>
    <w:rsid w:val="004F370E"/>
    <w:rsid w:val="00502BE8"/>
    <w:rsid w:val="005053DB"/>
    <w:rsid w:val="0050680B"/>
    <w:rsid w:val="005153F3"/>
    <w:rsid w:val="00515B02"/>
    <w:rsid w:val="00524307"/>
    <w:rsid w:val="00526E39"/>
    <w:rsid w:val="00530343"/>
    <w:rsid w:val="005306EC"/>
    <w:rsid w:val="005342E9"/>
    <w:rsid w:val="00545C43"/>
    <w:rsid w:val="00552BEB"/>
    <w:rsid w:val="00555B82"/>
    <w:rsid w:val="00562509"/>
    <w:rsid w:val="00571838"/>
    <w:rsid w:val="00572488"/>
    <w:rsid w:val="005729A4"/>
    <w:rsid w:val="00574866"/>
    <w:rsid w:val="0057745B"/>
    <w:rsid w:val="00582DA8"/>
    <w:rsid w:val="00583630"/>
    <w:rsid w:val="00592A52"/>
    <w:rsid w:val="0059328D"/>
    <w:rsid w:val="005970EE"/>
    <w:rsid w:val="005A1817"/>
    <w:rsid w:val="005A287B"/>
    <w:rsid w:val="005A7099"/>
    <w:rsid w:val="005B1FE5"/>
    <w:rsid w:val="005B7DCD"/>
    <w:rsid w:val="005C1ABC"/>
    <w:rsid w:val="005C4CE4"/>
    <w:rsid w:val="005D03F4"/>
    <w:rsid w:val="005E2A42"/>
    <w:rsid w:val="005E51C0"/>
    <w:rsid w:val="005E5C5C"/>
    <w:rsid w:val="005E6458"/>
    <w:rsid w:val="005E6D53"/>
    <w:rsid w:val="005F415D"/>
    <w:rsid w:val="005F5F77"/>
    <w:rsid w:val="005F66E4"/>
    <w:rsid w:val="005F7FCF"/>
    <w:rsid w:val="006016C4"/>
    <w:rsid w:val="00604369"/>
    <w:rsid w:val="006074CC"/>
    <w:rsid w:val="006100B7"/>
    <w:rsid w:val="00613AFB"/>
    <w:rsid w:val="006143FA"/>
    <w:rsid w:val="006154DB"/>
    <w:rsid w:val="00616266"/>
    <w:rsid w:val="0063276A"/>
    <w:rsid w:val="006414F2"/>
    <w:rsid w:val="0065582D"/>
    <w:rsid w:val="0065689A"/>
    <w:rsid w:val="006575E9"/>
    <w:rsid w:val="00657D23"/>
    <w:rsid w:val="00661B5C"/>
    <w:rsid w:val="00664FBA"/>
    <w:rsid w:val="006666B8"/>
    <w:rsid w:val="006666D9"/>
    <w:rsid w:val="006672FD"/>
    <w:rsid w:val="00670758"/>
    <w:rsid w:val="00674F62"/>
    <w:rsid w:val="006960A1"/>
    <w:rsid w:val="00696B52"/>
    <w:rsid w:val="006A12B0"/>
    <w:rsid w:val="006A1613"/>
    <w:rsid w:val="006A1D2A"/>
    <w:rsid w:val="006A1EB0"/>
    <w:rsid w:val="006A40CD"/>
    <w:rsid w:val="006A45C1"/>
    <w:rsid w:val="006A52E7"/>
    <w:rsid w:val="006B6CDF"/>
    <w:rsid w:val="006B794C"/>
    <w:rsid w:val="006C1D44"/>
    <w:rsid w:val="006C3448"/>
    <w:rsid w:val="006C4570"/>
    <w:rsid w:val="006C64D2"/>
    <w:rsid w:val="006C6B61"/>
    <w:rsid w:val="006C7FC0"/>
    <w:rsid w:val="006D1A6F"/>
    <w:rsid w:val="006D24A4"/>
    <w:rsid w:val="006D4974"/>
    <w:rsid w:val="006D5CC1"/>
    <w:rsid w:val="006D6D3C"/>
    <w:rsid w:val="006E62E1"/>
    <w:rsid w:val="006F2E48"/>
    <w:rsid w:val="006F5E4B"/>
    <w:rsid w:val="007014F5"/>
    <w:rsid w:val="00702A1C"/>
    <w:rsid w:val="007031ED"/>
    <w:rsid w:val="00705FCC"/>
    <w:rsid w:val="0070751A"/>
    <w:rsid w:val="00711F67"/>
    <w:rsid w:val="0071286F"/>
    <w:rsid w:val="00722CDB"/>
    <w:rsid w:val="007233B2"/>
    <w:rsid w:val="00725398"/>
    <w:rsid w:val="00725A43"/>
    <w:rsid w:val="00727A8C"/>
    <w:rsid w:val="00730C72"/>
    <w:rsid w:val="0073208E"/>
    <w:rsid w:val="007349A9"/>
    <w:rsid w:val="00734FDE"/>
    <w:rsid w:val="00735458"/>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6470"/>
    <w:rsid w:val="007B524F"/>
    <w:rsid w:val="007B5257"/>
    <w:rsid w:val="007D312E"/>
    <w:rsid w:val="007E0088"/>
    <w:rsid w:val="007F096B"/>
    <w:rsid w:val="007F0D27"/>
    <w:rsid w:val="007F31B2"/>
    <w:rsid w:val="007F7F49"/>
    <w:rsid w:val="0080251C"/>
    <w:rsid w:val="00810D73"/>
    <w:rsid w:val="00811A49"/>
    <w:rsid w:val="0081243A"/>
    <w:rsid w:val="00812F64"/>
    <w:rsid w:val="00820EF7"/>
    <w:rsid w:val="008239B6"/>
    <w:rsid w:val="00831A6F"/>
    <w:rsid w:val="00834C62"/>
    <w:rsid w:val="00842169"/>
    <w:rsid w:val="008503B0"/>
    <w:rsid w:val="0085681E"/>
    <w:rsid w:val="008577C4"/>
    <w:rsid w:val="00861741"/>
    <w:rsid w:val="008630BF"/>
    <w:rsid w:val="00873819"/>
    <w:rsid w:val="00877342"/>
    <w:rsid w:val="00892E3F"/>
    <w:rsid w:val="00893EC5"/>
    <w:rsid w:val="0089444A"/>
    <w:rsid w:val="0089449D"/>
    <w:rsid w:val="008A5795"/>
    <w:rsid w:val="008B0267"/>
    <w:rsid w:val="008B225B"/>
    <w:rsid w:val="008B503E"/>
    <w:rsid w:val="008C369A"/>
    <w:rsid w:val="008D009F"/>
    <w:rsid w:val="008D222D"/>
    <w:rsid w:val="008D3305"/>
    <w:rsid w:val="008E28BD"/>
    <w:rsid w:val="008E4974"/>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E39"/>
    <w:rsid w:val="00955C5B"/>
    <w:rsid w:val="00955DB4"/>
    <w:rsid w:val="00960595"/>
    <w:rsid w:val="00974906"/>
    <w:rsid w:val="00974AC5"/>
    <w:rsid w:val="009778AD"/>
    <w:rsid w:val="009779EE"/>
    <w:rsid w:val="00977C3F"/>
    <w:rsid w:val="00982546"/>
    <w:rsid w:val="00984DD0"/>
    <w:rsid w:val="00992F82"/>
    <w:rsid w:val="009A22BC"/>
    <w:rsid w:val="009C3992"/>
    <w:rsid w:val="009D033B"/>
    <w:rsid w:val="009D043D"/>
    <w:rsid w:val="009D0B64"/>
    <w:rsid w:val="009D27AB"/>
    <w:rsid w:val="009D4E19"/>
    <w:rsid w:val="009D5054"/>
    <w:rsid w:val="009D5289"/>
    <w:rsid w:val="009E32CB"/>
    <w:rsid w:val="009F20EB"/>
    <w:rsid w:val="009F212B"/>
    <w:rsid w:val="009F4913"/>
    <w:rsid w:val="009F6738"/>
    <w:rsid w:val="00A019EF"/>
    <w:rsid w:val="00A0488D"/>
    <w:rsid w:val="00A04B57"/>
    <w:rsid w:val="00A0516F"/>
    <w:rsid w:val="00A05321"/>
    <w:rsid w:val="00A055C1"/>
    <w:rsid w:val="00A07A62"/>
    <w:rsid w:val="00A12628"/>
    <w:rsid w:val="00A160FD"/>
    <w:rsid w:val="00A1635B"/>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809A8"/>
    <w:rsid w:val="00A81AB1"/>
    <w:rsid w:val="00A8327A"/>
    <w:rsid w:val="00A838EF"/>
    <w:rsid w:val="00A844E8"/>
    <w:rsid w:val="00A91570"/>
    <w:rsid w:val="00A96198"/>
    <w:rsid w:val="00A96266"/>
    <w:rsid w:val="00AA5AFD"/>
    <w:rsid w:val="00AB2533"/>
    <w:rsid w:val="00AB4C0D"/>
    <w:rsid w:val="00AC09BC"/>
    <w:rsid w:val="00AD3E28"/>
    <w:rsid w:val="00AD68B9"/>
    <w:rsid w:val="00AD6FE1"/>
    <w:rsid w:val="00AE3B4B"/>
    <w:rsid w:val="00AF19BB"/>
    <w:rsid w:val="00AF37D1"/>
    <w:rsid w:val="00AF3C20"/>
    <w:rsid w:val="00AF7358"/>
    <w:rsid w:val="00B011D3"/>
    <w:rsid w:val="00B052CF"/>
    <w:rsid w:val="00B06DA0"/>
    <w:rsid w:val="00B06FAA"/>
    <w:rsid w:val="00B07C2D"/>
    <w:rsid w:val="00B137F9"/>
    <w:rsid w:val="00B13B1F"/>
    <w:rsid w:val="00B15894"/>
    <w:rsid w:val="00B2055A"/>
    <w:rsid w:val="00B27A87"/>
    <w:rsid w:val="00B31679"/>
    <w:rsid w:val="00B3167D"/>
    <w:rsid w:val="00B3719D"/>
    <w:rsid w:val="00B52C2E"/>
    <w:rsid w:val="00B610DF"/>
    <w:rsid w:val="00B741AC"/>
    <w:rsid w:val="00B76881"/>
    <w:rsid w:val="00B84A22"/>
    <w:rsid w:val="00B84DB9"/>
    <w:rsid w:val="00B86AFE"/>
    <w:rsid w:val="00B91B0D"/>
    <w:rsid w:val="00B91BF3"/>
    <w:rsid w:val="00B92DC0"/>
    <w:rsid w:val="00BA0615"/>
    <w:rsid w:val="00BA2461"/>
    <w:rsid w:val="00BA54A5"/>
    <w:rsid w:val="00BA56FD"/>
    <w:rsid w:val="00BA67D0"/>
    <w:rsid w:val="00BA6F9D"/>
    <w:rsid w:val="00BB5DC0"/>
    <w:rsid w:val="00BC4C49"/>
    <w:rsid w:val="00BC4F82"/>
    <w:rsid w:val="00BD3EBB"/>
    <w:rsid w:val="00BD6DCF"/>
    <w:rsid w:val="00BE4178"/>
    <w:rsid w:val="00BE5533"/>
    <w:rsid w:val="00BF10CD"/>
    <w:rsid w:val="00BF3329"/>
    <w:rsid w:val="00BF4186"/>
    <w:rsid w:val="00C03228"/>
    <w:rsid w:val="00C11B3A"/>
    <w:rsid w:val="00C13690"/>
    <w:rsid w:val="00C161B9"/>
    <w:rsid w:val="00C166C1"/>
    <w:rsid w:val="00C21DC1"/>
    <w:rsid w:val="00C22DB7"/>
    <w:rsid w:val="00C243AD"/>
    <w:rsid w:val="00C34509"/>
    <w:rsid w:val="00C36F42"/>
    <w:rsid w:val="00C40576"/>
    <w:rsid w:val="00C42B30"/>
    <w:rsid w:val="00C4526E"/>
    <w:rsid w:val="00C45611"/>
    <w:rsid w:val="00C47753"/>
    <w:rsid w:val="00C500FF"/>
    <w:rsid w:val="00C517BF"/>
    <w:rsid w:val="00C5231E"/>
    <w:rsid w:val="00C52C3E"/>
    <w:rsid w:val="00C52FB7"/>
    <w:rsid w:val="00C536AD"/>
    <w:rsid w:val="00C543B1"/>
    <w:rsid w:val="00C55632"/>
    <w:rsid w:val="00C57676"/>
    <w:rsid w:val="00C70E35"/>
    <w:rsid w:val="00C70F1B"/>
    <w:rsid w:val="00C7199A"/>
    <w:rsid w:val="00C7584E"/>
    <w:rsid w:val="00C778AE"/>
    <w:rsid w:val="00C77ABB"/>
    <w:rsid w:val="00C77BD5"/>
    <w:rsid w:val="00C82B73"/>
    <w:rsid w:val="00C857A5"/>
    <w:rsid w:val="00C90E9F"/>
    <w:rsid w:val="00C91566"/>
    <w:rsid w:val="00C94B0F"/>
    <w:rsid w:val="00C957B6"/>
    <w:rsid w:val="00C965F1"/>
    <w:rsid w:val="00CA3742"/>
    <w:rsid w:val="00CB10FE"/>
    <w:rsid w:val="00CB4F36"/>
    <w:rsid w:val="00CC1BA0"/>
    <w:rsid w:val="00CC1F14"/>
    <w:rsid w:val="00CC2C8E"/>
    <w:rsid w:val="00CC2CC3"/>
    <w:rsid w:val="00CC39BE"/>
    <w:rsid w:val="00CC5300"/>
    <w:rsid w:val="00CE4C14"/>
    <w:rsid w:val="00CF596B"/>
    <w:rsid w:val="00CF597C"/>
    <w:rsid w:val="00D0419F"/>
    <w:rsid w:val="00D06DBC"/>
    <w:rsid w:val="00D11EC0"/>
    <w:rsid w:val="00D16BDD"/>
    <w:rsid w:val="00D17D54"/>
    <w:rsid w:val="00D24CA0"/>
    <w:rsid w:val="00D273EA"/>
    <w:rsid w:val="00D44E8D"/>
    <w:rsid w:val="00D50990"/>
    <w:rsid w:val="00D53500"/>
    <w:rsid w:val="00D54A48"/>
    <w:rsid w:val="00D54D7A"/>
    <w:rsid w:val="00D55E42"/>
    <w:rsid w:val="00D618B7"/>
    <w:rsid w:val="00D7294E"/>
    <w:rsid w:val="00D77BBF"/>
    <w:rsid w:val="00D80425"/>
    <w:rsid w:val="00D81BAA"/>
    <w:rsid w:val="00D83624"/>
    <w:rsid w:val="00D8578E"/>
    <w:rsid w:val="00D864B0"/>
    <w:rsid w:val="00D91A4F"/>
    <w:rsid w:val="00D97F19"/>
    <w:rsid w:val="00DA18C3"/>
    <w:rsid w:val="00DA23F5"/>
    <w:rsid w:val="00DA38F0"/>
    <w:rsid w:val="00DA3B20"/>
    <w:rsid w:val="00DA7442"/>
    <w:rsid w:val="00DB1B17"/>
    <w:rsid w:val="00DB31BA"/>
    <w:rsid w:val="00DB5453"/>
    <w:rsid w:val="00DD30C5"/>
    <w:rsid w:val="00DD74F9"/>
    <w:rsid w:val="00DE3FD5"/>
    <w:rsid w:val="00DE4C41"/>
    <w:rsid w:val="00DE6488"/>
    <w:rsid w:val="00DF16BB"/>
    <w:rsid w:val="00DF595C"/>
    <w:rsid w:val="00DF5A11"/>
    <w:rsid w:val="00E03A76"/>
    <w:rsid w:val="00E04E6F"/>
    <w:rsid w:val="00E12D87"/>
    <w:rsid w:val="00E138C5"/>
    <w:rsid w:val="00E13B79"/>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E48E5"/>
    <w:rsid w:val="00EF0D9C"/>
    <w:rsid w:val="00EF4982"/>
    <w:rsid w:val="00F02EFD"/>
    <w:rsid w:val="00F13610"/>
    <w:rsid w:val="00F172F9"/>
    <w:rsid w:val="00F17FD5"/>
    <w:rsid w:val="00F2280E"/>
    <w:rsid w:val="00F241B9"/>
    <w:rsid w:val="00F263B2"/>
    <w:rsid w:val="00F27DD0"/>
    <w:rsid w:val="00F37D01"/>
    <w:rsid w:val="00F418E1"/>
    <w:rsid w:val="00F435E5"/>
    <w:rsid w:val="00F47B0F"/>
    <w:rsid w:val="00F53315"/>
    <w:rsid w:val="00F64CAB"/>
    <w:rsid w:val="00F65AA3"/>
    <w:rsid w:val="00F65F11"/>
    <w:rsid w:val="00F661BA"/>
    <w:rsid w:val="00F701BC"/>
    <w:rsid w:val="00F72980"/>
    <w:rsid w:val="00F76940"/>
    <w:rsid w:val="00F76EFD"/>
    <w:rsid w:val="00F81D7C"/>
    <w:rsid w:val="00F8368E"/>
    <w:rsid w:val="00F83BC3"/>
    <w:rsid w:val="00F943F7"/>
    <w:rsid w:val="00F95D4D"/>
    <w:rsid w:val="00FA17A0"/>
    <w:rsid w:val="00FA1875"/>
    <w:rsid w:val="00FB0E02"/>
    <w:rsid w:val="00FB7493"/>
    <w:rsid w:val="00FB75E5"/>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498D-68D9-48FB-9518-8EA79AD7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1439</Words>
  <Characters>7196</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15</cp:revision>
  <cp:lastPrinted>2014-09-21T20:08:00Z</cp:lastPrinted>
  <dcterms:created xsi:type="dcterms:W3CDTF">2014-09-28T05:29:00Z</dcterms:created>
  <dcterms:modified xsi:type="dcterms:W3CDTF">2014-09-28T06:31:00Z</dcterms:modified>
</cp:coreProperties>
</file>