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B42257">
        <w:rPr>
          <w:rFonts w:cs="David" w:hint="cs"/>
          <w:b/>
          <w:bCs/>
          <w:sz w:val="24"/>
          <w:szCs w:val="24"/>
          <w:u w:val="single"/>
          <w:rtl/>
        </w:rPr>
        <w:t>שיעור 5</w:t>
      </w:r>
    </w:p>
    <w:p w:rsidR="0049788B" w:rsidRPr="0049788B" w:rsidRDefault="0049788B" w:rsidP="00E01A5B">
      <w:pPr>
        <w:spacing w:line="360" w:lineRule="auto"/>
        <w:jc w:val="center"/>
        <w:rPr>
          <w:rFonts w:cs="David"/>
          <w:b/>
          <w:bCs/>
          <w:sz w:val="24"/>
          <w:szCs w:val="24"/>
          <w:u w:val="single"/>
          <w:rtl/>
        </w:rPr>
      </w:pPr>
      <w:r>
        <w:rPr>
          <w:rFonts w:cs="David" w:hint="cs"/>
          <w:b/>
          <w:bCs/>
          <w:sz w:val="24"/>
          <w:szCs w:val="24"/>
          <w:u w:val="single"/>
          <w:rtl/>
        </w:rPr>
        <w:t>רכישת הבת עם אג"ח</w:t>
      </w:r>
    </w:p>
    <w:p w:rsidR="0049788B" w:rsidRDefault="0049788B" w:rsidP="00E01A5B">
      <w:pPr>
        <w:spacing w:line="360" w:lineRule="auto"/>
        <w:jc w:val="both"/>
        <w:rPr>
          <w:rFonts w:cs="David"/>
          <w:sz w:val="24"/>
          <w:szCs w:val="24"/>
          <w:rtl/>
        </w:rPr>
      </w:pPr>
      <w:r>
        <w:rPr>
          <w:rFonts w:cs="David" w:hint="cs"/>
          <w:sz w:val="24"/>
          <w:szCs w:val="24"/>
          <w:rtl/>
        </w:rPr>
        <w:t xml:space="preserve">אם בחברת הבת יש אג"ח לשלם ביום הרכישה </w:t>
      </w:r>
      <w:proofErr w:type="spellStart"/>
      <w:r>
        <w:rPr>
          <w:rFonts w:cs="David" w:hint="cs"/>
          <w:sz w:val="24"/>
          <w:szCs w:val="24"/>
          <w:rtl/>
        </w:rPr>
        <w:t>והשוו"ה</w:t>
      </w:r>
      <w:proofErr w:type="spellEnd"/>
      <w:r>
        <w:rPr>
          <w:rFonts w:cs="David" w:hint="cs"/>
          <w:sz w:val="24"/>
          <w:szCs w:val="24"/>
          <w:rtl/>
        </w:rPr>
        <w:t xml:space="preserve"> שונה מהערך הפנקסני כלומר, ריבית השוק ביום שחברה א' רכשה את ב' שונה מריבית השוק ביום ההנפקה, אז יש לייחס ע"ע לאג"ח לשלם. אם במועד מאוחר יותר א' רוכשת חלק </w:t>
      </w:r>
      <w:proofErr w:type="spellStart"/>
      <w:r>
        <w:rPr>
          <w:rFonts w:cs="David" w:hint="cs"/>
          <w:sz w:val="24"/>
          <w:szCs w:val="24"/>
          <w:rtl/>
        </w:rPr>
        <w:t>מהאג"ח</w:t>
      </w:r>
      <w:proofErr w:type="spellEnd"/>
      <w:r>
        <w:rPr>
          <w:rFonts w:cs="David" w:hint="cs"/>
          <w:sz w:val="24"/>
          <w:szCs w:val="24"/>
          <w:rtl/>
        </w:rPr>
        <w:t xml:space="preserve"> או את כולו יש לבצע שני דברים בלתי תלויים זה בזה:</w:t>
      </w:r>
    </w:p>
    <w:p w:rsidR="0049788B" w:rsidRDefault="0049788B" w:rsidP="00E01A5B">
      <w:pPr>
        <w:pStyle w:val="a7"/>
        <w:numPr>
          <w:ilvl w:val="0"/>
          <w:numId w:val="18"/>
        </w:numPr>
        <w:spacing w:line="360" w:lineRule="auto"/>
        <w:jc w:val="both"/>
        <w:rPr>
          <w:rFonts w:cs="David"/>
          <w:sz w:val="24"/>
          <w:szCs w:val="24"/>
        </w:rPr>
      </w:pPr>
      <w:r>
        <w:rPr>
          <w:rFonts w:cs="David" w:hint="cs"/>
          <w:sz w:val="24"/>
          <w:szCs w:val="24"/>
          <w:rtl/>
        </w:rPr>
        <w:t>יש לממש את כל יתרת עודף העלות כנגד רווח או הפסד מפדיון מוקדם .</w:t>
      </w:r>
    </w:p>
    <w:p w:rsidR="006E6D13" w:rsidRPr="006E6D13" w:rsidRDefault="0049788B" w:rsidP="00E01A5B">
      <w:pPr>
        <w:pStyle w:val="a7"/>
        <w:numPr>
          <w:ilvl w:val="0"/>
          <w:numId w:val="18"/>
        </w:numPr>
        <w:spacing w:line="360" w:lineRule="auto"/>
        <w:jc w:val="both"/>
        <w:rPr>
          <w:rFonts w:cs="David"/>
          <w:sz w:val="24"/>
          <w:szCs w:val="24"/>
        </w:rPr>
      </w:pPr>
      <w:r>
        <w:rPr>
          <w:rFonts w:cs="David" w:hint="cs"/>
          <w:sz w:val="24"/>
          <w:szCs w:val="24"/>
          <w:rtl/>
        </w:rPr>
        <w:t xml:space="preserve">יש ליצור את </w:t>
      </w:r>
      <w:proofErr w:type="spellStart"/>
      <w:r>
        <w:rPr>
          <w:rFonts w:cs="David" w:hint="cs"/>
          <w:sz w:val="24"/>
          <w:szCs w:val="24"/>
          <w:rtl/>
        </w:rPr>
        <w:t>הע"פ</w:t>
      </w:r>
      <w:proofErr w:type="spellEnd"/>
      <w:r>
        <w:rPr>
          <w:rFonts w:cs="David" w:hint="cs"/>
          <w:sz w:val="24"/>
          <w:szCs w:val="24"/>
          <w:rtl/>
        </w:rPr>
        <w:t xml:space="preserve"> בגין </w:t>
      </w:r>
      <w:proofErr w:type="spellStart"/>
      <w:r>
        <w:rPr>
          <w:rFonts w:cs="David" w:hint="cs"/>
          <w:sz w:val="24"/>
          <w:szCs w:val="24"/>
          <w:rtl/>
        </w:rPr>
        <w:t>האג"ח</w:t>
      </w:r>
      <w:proofErr w:type="spellEnd"/>
      <w:r>
        <w:rPr>
          <w:rFonts w:cs="David" w:hint="cs"/>
          <w:sz w:val="24"/>
          <w:szCs w:val="24"/>
          <w:rtl/>
        </w:rPr>
        <w:t xml:space="preserve"> שהרי אם א' רכשה את </w:t>
      </w:r>
      <w:proofErr w:type="spellStart"/>
      <w:r>
        <w:rPr>
          <w:rFonts w:cs="David" w:hint="cs"/>
          <w:sz w:val="24"/>
          <w:szCs w:val="24"/>
          <w:rtl/>
        </w:rPr>
        <w:t>האג"ח</w:t>
      </w:r>
      <w:proofErr w:type="spellEnd"/>
      <w:r>
        <w:rPr>
          <w:rFonts w:cs="David" w:hint="cs"/>
          <w:sz w:val="24"/>
          <w:szCs w:val="24"/>
          <w:rtl/>
        </w:rPr>
        <w:t xml:space="preserve"> של ב' מבחינת המאוחד נוצר פדיון מוקדם של </w:t>
      </w:r>
      <w:proofErr w:type="spellStart"/>
      <w:r>
        <w:rPr>
          <w:rFonts w:cs="David" w:hint="cs"/>
          <w:sz w:val="24"/>
          <w:szCs w:val="24"/>
          <w:rtl/>
        </w:rPr>
        <w:t>האג"ח</w:t>
      </w:r>
      <w:proofErr w:type="spellEnd"/>
      <w:r>
        <w:rPr>
          <w:rFonts w:cs="David" w:hint="cs"/>
          <w:sz w:val="24"/>
          <w:szCs w:val="24"/>
          <w:rtl/>
        </w:rPr>
        <w:t>.</w:t>
      </w:r>
      <w:r w:rsidR="001724A4">
        <w:rPr>
          <w:rFonts w:cs="David" w:hint="cs"/>
          <w:sz w:val="24"/>
          <w:szCs w:val="24"/>
          <w:rtl/>
        </w:rPr>
        <w:t xml:space="preserve"> </w:t>
      </w:r>
      <w:r w:rsidR="001724A4">
        <w:rPr>
          <w:rFonts w:cs="David" w:hint="cs"/>
          <w:b/>
          <w:bCs/>
          <w:color w:val="00B050"/>
          <w:sz w:val="24"/>
          <w:szCs w:val="24"/>
          <w:u w:val="single"/>
          <w:rtl/>
        </w:rPr>
        <w:t>דוגמא 19</w:t>
      </w:r>
    </w:p>
    <w:p w:rsidR="006E6D13" w:rsidRPr="006E6D13" w:rsidRDefault="006E6D13" w:rsidP="00E01A5B">
      <w:pPr>
        <w:spacing w:line="360" w:lineRule="auto"/>
        <w:jc w:val="center"/>
        <w:rPr>
          <w:rFonts w:cs="David"/>
          <w:b/>
          <w:bCs/>
          <w:sz w:val="24"/>
          <w:szCs w:val="24"/>
          <w:u w:val="single"/>
          <w:rtl/>
        </w:rPr>
      </w:pPr>
      <w:r>
        <w:rPr>
          <w:rFonts w:cs="David" w:hint="cs"/>
          <w:b/>
          <w:bCs/>
          <w:sz w:val="24"/>
          <w:szCs w:val="24"/>
          <w:u w:val="single"/>
          <w:rtl/>
        </w:rPr>
        <w:t>מכירת אג"ח לחיצוניים</w:t>
      </w:r>
    </w:p>
    <w:p w:rsidR="006E6D13" w:rsidRDefault="006E6D13" w:rsidP="00E01A5B">
      <w:pPr>
        <w:spacing w:line="360" w:lineRule="auto"/>
        <w:jc w:val="both"/>
        <w:rPr>
          <w:rFonts w:cs="David"/>
          <w:sz w:val="24"/>
          <w:szCs w:val="24"/>
          <w:rtl/>
        </w:rPr>
      </w:pPr>
      <w:r>
        <w:rPr>
          <w:rFonts w:cs="David" w:hint="cs"/>
          <w:sz w:val="24"/>
          <w:szCs w:val="24"/>
          <w:rtl/>
        </w:rPr>
        <w:t xml:space="preserve">נניח שחברה א' הנפיקה אג"ח נניח בבורסה בשלב מסוים חברה ב' רכשה את </w:t>
      </w:r>
      <w:proofErr w:type="spellStart"/>
      <w:r>
        <w:rPr>
          <w:rFonts w:cs="David" w:hint="cs"/>
          <w:sz w:val="24"/>
          <w:szCs w:val="24"/>
          <w:rtl/>
        </w:rPr>
        <w:t>האג"ח</w:t>
      </w:r>
      <w:proofErr w:type="spellEnd"/>
      <w:r>
        <w:rPr>
          <w:rFonts w:cs="David" w:hint="cs"/>
          <w:sz w:val="24"/>
          <w:szCs w:val="24"/>
          <w:rtl/>
        </w:rPr>
        <w:t xml:space="preserve"> מהבורסה ובמועד מאוחר יותר חברה ב' מכרה את </w:t>
      </w:r>
      <w:proofErr w:type="spellStart"/>
      <w:r>
        <w:rPr>
          <w:rFonts w:cs="David" w:hint="cs"/>
          <w:sz w:val="24"/>
          <w:szCs w:val="24"/>
          <w:rtl/>
        </w:rPr>
        <w:t>האג"ח</w:t>
      </w:r>
      <w:proofErr w:type="spellEnd"/>
      <w:r>
        <w:rPr>
          <w:rFonts w:cs="David" w:hint="cs"/>
          <w:sz w:val="24"/>
          <w:szCs w:val="24"/>
          <w:rtl/>
        </w:rPr>
        <w:t>. ננתח את המצב בספרי כל חברה ובמאוחד: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3"/>
        <w:gridCol w:w="1148"/>
        <w:gridCol w:w="1604"/>
        <w:gridCol w:w="2408"/>
      </w:tblGrid>
      <w:tr w:rsidR="006E6D13" w:rsidTr="00E01A5B">
        <w:tc>
          <w:tcPr>
            <w:tcW w:w="0" w:type="auto"/>
          </w:tcPr>
          <w:p w:rsidR="006E6D13" w:rsidRPr="00E01A5B" w:rsidRDefault="006E6D13" w:rsidP="00E01A5B">
            <w:pPr>
              <w:spacing w:line="360" w:lineRule="auto"/>
              <w:jc w:val="both"/>
              <w:rPr>
                <w:rFonts w:cs="David"/>
                <w:rtl/>
              </w:rPr>
            </w:pPr>
          </w:p>
        </w:tc>
        <w:tc>
          <w:tcPr>
            <w:tcW w:w="0" w:type="auto"/>
          </w:tcPr>
          <w:p w:rsidR="006E6D13" w:rsidRPr="00E01A5B" w:rsidRDefault="006E6D13" w:rsidP="00E01A5B">
            <w:pPr>
              <w:spacing w:line="360" w:lineRule="auto"/>
              <w:jc w:val="center"/>
              <w:rPr>
                <w:rFonts w:cs="David"/>
                <w:b/>
                <w:bCs/>
                <w:rtl/>
              </w:rPr>
            </w:pPr>
            <w:r w:rsidRPr="00E01A5B">
              <w:rPr>
                <w:rFonts w:cs="David" w:hint="cs"/>
                <w:b/>
                <w:bCs/>
                <w:rtl/>
              </w:rPr>
              <w:t>בספרי א</w:t>
            </w:r>
          </w:p>
        </w:tc>
        <w:tc>
          <w:tcPr>
            <w:tcW w:w="0" w:type="auto"/>
          </w:tcPr>
          <w:p w:rsidR="006E6D13" w:rsidRPr="00E01A5B" w:rsidRDefault="006E6D13" w:rsidP="00E01A5B">
            <w:pPr>
              <w:spacing w:line="360" w:lineRule="auto"/>
              <w:jc w:val="center"/>
              <w:rPr>
                <w:rFonts w:cs="David"/>
                <w:b/>
                <w:bCs/>
                <w:rtl/>
              </w:rPr>
            </w:pPr>
            <w:r w:rsidRPr="00E01A5B">
              <w:rPr>
                <w:rFonts w:cs="David" w:hint="cs"/>
                <w:b/>
                <w:bCs/>
                <w:rtl/>
              </w:rPr>
              <w:t>בספרי ב'</w:t>
            </w:r>
          </w:p>
        </w:tc>
        <w:tc>
          <w:tcPr>
            <w:tcW w:w="0" w:type="auto"/>
          </w:tcPr>
          <w:p w:rsidR="006E6D13" w:rsidRPr="00E01A5B" w:rsidRDefault="006E6D13" w:rsidP="00E01A5B">
            <w:pPr>
              <w:spacing w:line="360" w:lineRule="auto"/>
              <w:jc w:val="center"/>
              <w:rPr>
                <w:rFonts w:cs="David"/>
                <w:b/>
                <w:bCs/>
                <w:rtl/>
              </w:rPr>
            </w:pPr>
            <w:r w:rsidRPr="00E01A5B">
              <w:rPr>
                <w:rFonts w:cs="David" w:hint="cs"/>
                <w:b/>
                <w:bCs/>
                <w:rtl/>
              </w:rPr>
              <w:t xml:space="preserve">במאוחד </w:t>
            </w:r>
            <w:r w:rsidRPr="00E01A5B">
              <w:rPr>
                <w:rFonts w:cs="David" w:hint="cs"/>
                <w:b/>
                <w:bCs/>
              </w:rPr>
              <w:t>A</w:t>
            </w:r>
          </w:p>
        </w:tc>
      </w:tr>
      <w:tr w:rsidR="006E6D13" w:rsidTr="00E01A5B">
        <w:tc>
          <w:tcPr>
            <w:tcW w:w="0" w:type="auto"/>
          </w:tcPr>
          <w:p w:rsidR="006E6D13" w:rsidRPr="00E01A5B" w:rsidRDefault="006E6D13" w:rsidP="00E01A5B">
            <w:pPr>
              <w:spacing w:line="360" w:lineRule="auto"/>
              <w:jc w:val="both"/>
              <w:rPr>
                <w:rFonts w:cs="David"/>
                <w:rtl/>
              </w:rPr>
            </w:pPr>
            <w:r w:rsidRPr="00E01A5B">
              <w:rPr>
                <w:rFonts w:cs="David" w:hint="cs"/>
                <w:rtl/>
              </w:rPr>
              <w:t xml:space="preserve">ביום שא' הנפיקה את </w:t>
            </w:r>
            <w:proofErr w:type="spellStart"/>
            <w:r w:rsidRPr="00E01A5B">
              <w:rPr>
                <w:rFonts w:cs="David" w:hint="cs"/>
                <w:rtl/>
              </w:rPr>
              <w:t>האג"ח</w:t>
            </w:r>
            <w:proofErr w:type="spellEnd"/>
          </w:p>
        </w:tc>
        <w:tc>
          <w:tcPr>
            <w:tcW w:w="0" w:type="auto"/>
          </w:tcPr>
          <w:p w:rsidR="006E6D13" w:rsidRPr="00E01A5B" w:rsidRDefault="006E6D13" w:rsidP="00E01A5B">
            <w:pPr>
              <w:spacing w:line="360" w:lineRule="auto"/>
              <w:jc w:val="both"/>
              <w:rPr>
                <w:rFonts w:cs="David"/>
                <w:rtl/>
              </w:rPr>
            </w:pPr>
            <w:r w:rsidRPr="00E01A5B">
              <w:rPr>
                <w:rFonts w:cs="David" w:hint="cs"/>
                <w:rtl/>
              </w:rPr>
              <w:t>אג"ח לשלם</w:t>
            </w:r>
          </w:p>
        </w:tc>
        <w:tc>
          <w:tcPr>
            <w:tcW w:w="0" w:type="auto"/>
          </w:tcPr>
          <w:p w:rsidR="006E6D13" w:rsidRPr="00E01A5B" w:rsidRDefault="006E6D13" w:rsidP="00E01A5B">
            <w:pPr>
              <w:spacing w:line="360" w:lineRule="auto"/>
              <w:jc w:val="both"/>
              <w:rPr>
                <w:rFonts w:cs="David"/>
                <w:rtl/>
              </w:rPr>
            </w:pPr>
            <w:r w:rsidRPr="00E01A5B">
              <w:rPr>
                <w:rFonts w:cs="David" w:hint="cs"/>
                <w:rtl/>
              </w:rPr>
              <w:t>---</w:t>
            </w:r>
          </w:p>
        </w:tc>
        <w:tc>
          <w:tcPr>
            <w:tcW w:w="0" w:type="auto"/>
          </w:tcPr>
          <w:p w:rsidR="006E6D13" w:rsidRPr="00E01A5B" w:rsidRDefault="006E6D13" w:rsidP="00E01A5B">
            <w:pPr>
              <w:spacing w:line="360" w:lineRule="auto"/>
              <w:jc w:val="both"/>
              <w:rPr>
                <w:rFonts w:cs="David"/>
                <w:rtl/>
              </w:rPr>
            </w:pPr>
            <w:r w:rsidRPr="00E01A5B">
              <w:rPr>
                <w:rFonts w:cs="David" w:hint="cs"/>
                <w:rtl/>
              </w:rPr>
              <w:t>אג"ח לשלם</w:t>
            </w:r>
          </w:p>
        </w:tc>
      </w:tr>
      <w:tr w:rsidR="006E6D13" w:rsidTr="00E01A5B">
        <w:tc>
          <w:tcPr>
            <w:tcW w:w="0" w:type="auto"/>
          </w:tcPr>
          <w:p w:rsidR="00E01A5B" w:rsidRDefault="006E6D13" w:rsidP="00E01A5B">
            <w:pPr>
              <w:spacing w:line="360" w:lineRule="auto"/>
              <w:jc w:val="both"/>
              <w:rPr>
                <w:rFonts w:cs="David"/>
                <w:rtl/>
              </w:rPr>
            </w:pPr>
            <w:r w:rsidRPr="00E01A5B">
              <w:rPr>
                <w:rFonts w:cs="David" w:hint="cs"/>
                <w:rtl/>
              </w:rPr>
              <w:t xml:space="preserve">ביום שחברה ב' </w:t>
            </w:r>
            <w:r w:rsidR="00E01A5B" w:rsidRPr="00E01A5B">
              <w:rPr>
                <w:rFonts w:cs="David" w:hint="cs"/>
                <w:rtl/>
              </w:rPr>
              <w:t>רכשה את</w:t>
            </w:r>
          </w:p>
          <w:p w:rsidR="006E6D13" w:rsidRPr="00E01A5B" w:rsidRDefault="00E01A5B" w:rsidP="00E01A5B">
            <w:pPr>
              <w:spacing w:line="360" w:lineRule="auto"/>
              <w:jc w:val="both"/>
              <w:rPr>
                <w:rFonts w:cs="David"/>
                <w:rtl/>
              </w:rPr>
            </w:pPr>
            <w:r w:rsidRPr="00E01A5B">
              <w:rPr>
                <w:rFonts w:cs="David" w:hint="cs"/>
                <w:rtl/>
              </w:rPr>
              <w:t xml:space="preserve"> </w:t>
            </w:r>
            <w:proofErr w:type="spellStart"/>
            <w:r w:rsidRPr="00E01A5B">
              <w:rPr>
                <w:rFonts w:cs="David" w:hint="cs"/>
                <w:rtl/>
              </w:rPr>
              <w:t>האג"ח</w:t>
            </w:r>
            <w:proofErr w:type="spellEnd"/>
            <w:r w:rsidRPr="00E01A5B">
              <w:rPr>
                <w:rFonts w:cs="David" w:hint="cs"/>
                <w:rtl/>
              </w:rPr>
              <w:t xml:space="preserve"> מהבורסה </w:t>
            </w:r>
          </w:p>
        </w:tc>
        <w:tc>
          <w:tcPr>
            <w:tcW w:w="0" w:type="auto"/>
          </w:tcPr>
          <w:p w:rsidR="006E6D13" w:rsidRPr="00E01A5B" w:rsidRDefault="00E01A5B" w:rsidP="00E01A5B">
            <w:pPr>
              <w:spacing w:line="360" w:lineRule="auto"/>
              <w:jc w:val="both"/>
              <w:rPr>
                <w:rFonts w:cs="David"/>
                <w:rtl/>
              </w:rPr>
            </w:pPr>
            <w:r w:rsidRPr="00E01A5B">
              <w:rPr>
                <w:rFonts w:cs="David" w:hint="cs"/>
                <w:rtl/>
              </w:rPr>
              <w:t>אג"ח לשלם</w:t>
            </w:r>
          </w:p>
        </w:tc>
        <w:tc>
          <w:tcPr>
            <w:tcW w:w="0" w:type="auto"/>
          </w:tcPr>
          <w:p w:rsidR="006E6D13" w:rsidRPr="00E01A5B" w:rsidRDefault="00E01A5B" w:rsidP="00E01A5B">
            <w:pPr>
              <w:spacing w:line="360" w:lineRule="auto"/>
              <w:jc w:val="both"/>
              <w:rPr>
                <w:rFonts w:cs="David"/>
                <w:rtl/>
              </w:rPr>
            </w:pPr>
            <w:r w:rsidRPr="00E01A5B">
              <w:rPr>
                <w:rFonts w:cs="David" w:hint="cs"/>
                <w:rtl/>
              </w:rPr>
              <w:t>השקעה באג"ח</w:t>
            </w:r>
          </w:p>
        </w:tc>
        <w:tc>
          <w:tcPr>
            <w:tcW w:w="0" w:type="auto"/>
          </w:tcPr>
          <w:p w:rsidR="006E6D13" w:rsidRPr="00E01A5B" w:rsidRDefault="00E01A5B" w:rsidP="00E01A5B">
            <w:pPr>
              <w:spacing w:line="360" w:lineRule="auto"/>
              <w:jc w:val="both"/>
              <w:rPr>
                <w:rFonts w:cs="David"/>
                <w:rtl/>
              </w:rPr>
            </w:pPr>
            <w:r w:rsidRPr="00E01A5B">
              <w:rPr>
                <w:rFonts w:cs="David" w:hint="cs"/>
                <w:rtl/>
              </w:rPr>
              <w:t xml:space="preserve">אין כלום יש פדיון מוקדם </w:t>
            </w:r>
          </w:p>
        </w:tc>
      </w:tr>
      <w:tr w:rsidR="006E6D13" w:rsidTr="00E01A5B">
        <w:tc>
          <w:tcPr>
            <w:tcW w:w="0" w:type="auto"/>
          </w:tcPr>
          <w:p w:rsidR="006E6D13" w:rsidRPr="00E01A5B" w:rsidRDefault="00E01A5B" w:rsidP="00E01A5B">
            <w:pPr>
              <w:spacing w:line="360" w:lineRule="auto"/>
              <w:jc w:val="both"/>
              <w:rPr>
                <w:rFonts w:cs="David"/>
                <w:rtl/>
              </w:rPr>
            </w:pPr>
            <w:r w:rsidRPr="00E01A5B">
              <w:rPr>
                <w:rFonts w:cs="David" w:hint="cs"/>
                <w:rtl/>
              </w:rPr>
              <w:t xml:space="preserve">ביום שב' מכרה את </w:t>
            </w:r>
            <w:proofErr w:type="spellStart"/>
            <w:r w:rsidRPr="00E01A5B">
              <w:rPr>
                <w:rFonts w:cs="David" w:hint="cs"/>
                <w:rtl/>
              </w:rPr>
              <w:t>האג"ח</w:t>
            </w:r>
            <w:proofErr w:type="spellEnd"/>
          </w:p>
        </w:tc>
        <w:tc>
          <w:tcPr>
            <w:tcW w:w="0" w:type="auto"/>
          </w:tcPr>
          <w:p w:rsidR="006E6D13" w:rsidRPr="00E01A5B" w:rsidRDefault="00E01A5B" w:rsidP="00E01A5B">
            <w:pPr>
              <w:spacing w:line="360" w:lineRule="auto"/>
              <w:jc w:val="both"/>
              <w:rPr>
                <w:rFonts w:cs="David"/>
                <w:rtl/>
              </w:rPr>
            </w:pPr>
            <w:r w:rsidRPr="00E01A5B">
              <w:rPr>
                <w:rFonts w:cs="David" w:hint="cs"/>
                <w:rtl/>
              </w:rPr>
              <w:t>אג"ח לשלם</w:t>
            </w:r>
          </w:p>
        </w:tc>
        <w:tc>
          <w:tcPr>
            <w:tcW w:w="0" w:type="auto"/>
          </w:tcPr>
          <w:p w:rsidR="006E6D13" w:rsidRPr="00E01A5B" w:rsidRDefault="00E01A5B" w:rsidP="00E01A5B">
            <w:pPr>
              <w:spacing w:line="360" w:lineRule="auto"/>
              <w:jc w:val="both"/>
              <w:rPr>
                <w:rFonts w:cs="David"/>
                <w:rtl/>
              </w:rPr>
            </w:pPr>
            <w:r w:rsidRPr="00E01A5B">
              <w:rPr>
                <w:rFonts w:cs="David" w:hint="cs"/>
                <w:rtl/>
              </w:rPr>
              <w:t xml:space="preserve">רווח/הפסד מני"ע </w:t>
            </w:r>
          </w:p>
        </w:tc>
        <w:tc>
          <w:tcPr>
            <w:tcW w:w="0" w:type="auto"/>
          </w:tcPr>
          <w:p w:rsidR="006E6D13" w:rsidRPr="00E01A5B" w:rsidRDefault="00E01A5B" w:rsidP="00E01A5B">
            <w:pPr>
              <w:spacing w:line="360" w:lineRule="auto"/>
              <w:jc w:val="both"/>
              <w:rPr>
                <w:rFonts w:cs="David"/>
                <w:rtl/>
              </w:rPr>
            </w:pPr>
            <w:r>
              <w:rPr>
                <w:rFonts w:cs="David" w:hint="cs"/>
                <w:rtl/>
              </w:rPr>
              <w:t xml:space="preserve">יש הנפקה מחדש של </w:t>
            </w:r>
            <w:proofErr w:type="spellStart"/>
            <w:r>
              <w:rPr>
                <w:rFonts w:cs="David" w:hint="cs"/>
                <w:rtl/>
              </w:rPr>
              <w:t>האג"ח</w:t>
            </w:r>
            <w:proofErr w:type="spellEnd"/>
          </w:p>
        </w:tc>
      </w:tr>
    </w:tbl>
    <w:p w:rsidR="006E6D13" w:rsidRDefault="00E01A5B" w:rsidP="00E01A5B">
      <w:pPr>
        <w:spacing w:line="360" w:lineRule="auto"/>
        <w:jc w:val="both"/>
        <w:rPr>
          <w:rFonts w:cs="David"/>
          <w:sz w:val="24"/>
          <w:szCs w:val="24"/>
          <w:rtl/>
        </w:rPr>
      </w:pPr>
      <w:r>
        <w:rPr>
          <w:rFonts w:cs="David" w:hint="cs"/>
          <w:sz w:val="24"/>
          <w:szCs w:val="24"/>
          <w:rtl/>
        </w:rPr>
        <w:t xml:space="preserve">ביום מכירת </w:t>
      </w:r>
      <w:proofErr w:type="spellStart"/>
      <w:r>
        <w:rPr>
          <w:rFonts w:cs="David" w:hint="cs"/>
          <w:sz w:val="24"/>
          <w:szCs w:val="24"/>
          <w:rtl/>
        </w:rPr>
        <w:t>האג"ח</w:t>
      </w:r>
      <w:proofErr w:type="spellEnd"/>
      <w:r>
        <w:rPr>
          <w:rFonts w:cs="David" w:hint="cs"/>
          <w:sz w:val="24"/>
          <w:szCs w:val="24"/>
          <w:rtl/>
        </w:rPr>
        <w:t xml:space="preserve"> לחיצוניים יש לבטל את </w:t>
      </w:r>
      <w:proofErr w:type="spellStart"/>
      <w:r>
        <w:rPr>
          <w:rFonts w:cs="David" w:hint="cs"/>
          <w:sz w:val="24"/>
          <w:szCs w:val="24"/>
          <w:rtl/>
        </w:rPr>
        <w:t>האג"ח</w:t>
      </w:r>
      <w:proofErr w:type="spellEnd"/>
      <w:r>
        <w:rPr>
          <w:rFonts w:cs="David" w:hint="cs"/>
          <w:sz w:val="24"/>
          <w:szCs w:val="24"/>
          <w:rtl/>
        </w:rPr>
        <w:t xml:space="preserve"> לשלם שרשומות בספרי חברה א' יש לבטל רווח או הפסד מני"ע שרשמה חברה ב' ויש ליצור מחדש את </w:t>
      </w:r>
      <w:proofErr w:type="spellStart"/>
      <w:r>
        <w:rPr>
          <w:rFonts w:cs="David" w:hint="cs"/>
          <w:sz w:val="24"/>
          <w:szCs w:val="24"/>
          <w:rtl/>
        </w:rPr>
        <w:t>האג"ח</w:t>
      </w:r>
      <w:proofErr w:type="spellEnd"/>
      <w:r>
        <w:rPr>
          <w:rFonts w:cs="David" w:hint="cs"/>
          <w:sz w:val="24"/>
          <w:szCs w:val="24"/>
          <w:rtl/>
        </w:rPr>
        <w:t xml:space="preserve"> לשלם שצריכות להופיע בדו"ח המאוחד מיום המכירה ואילך חברה א' בדו"ח הנפרד שלה ממשיכה לנהל את </w:t>
      </w:r>
      <w:proofErr w:type="spellStart"/>
      <w:r>
        <w:rPr>
          <w:rFonts w:cs="David" w:hint="cs"/>
          <w:sz w:val="24"/>
          <w:szCs w:val="24"/>
          <w:rtl/>
        </w:rPr>
        <w:t>האג"ח</w:t>
      </w:r>
      <w:proofErr w:type="spellEnd"/>
      <w:r>
        <w:rPr>
          <w:rFonts w:cs="David" w:hint="cs"/>
          <w:sz w:val="24"/>
          <w:szCs w:val="24"/>
          <w:rtl/>
        </w:rPr>
        <w:t xml:space="preserve"> לשלם כרגיל. בחברה ב' אין יותר כלום ולכן כל שנה ושנה אנו צריכים לבטל את </w:t>
      </w:r>
      <w:proofErr w:type="spellStart"/>
      <w:r>
        <w:rPr>
          <w:rFonts w:cs="David" w:hint="cs"/>
          <w:sz w:val="24"/>
          <w:szCs w:val="24"/>
          <w:rtl/>
        </w:rPr>
        <w:t>האג"ח</w:t>
      </w:r>
      <w:proofErr w:type="spellEnd"/>
      <w:r>
        <w:rPr>
          <w:rFonts w:cs="David" w:hint="cs"/>
          <w:sz w:val="24"/>
          <w:szCs w:val="24"/>
          <w:rtl/>
        </w:rPr>
        <w:t xml:space="preserve"> לשלם שבספרי א' כי מזמן הם נפדו ובמקום זה ליצור את </w:t>
      </w:r>
      <w:proofErr w:type="spellStart"/>
      <w:r>
        <w:rPr>
          <w:rFonts w:cs="David" w:hint="cs"/>
          <w:sz w:val="24"/>
          <w:szCs w:val="24"/>
          <w:rtl/>
        </w:rPr>
        <w:t>האג"ח</w:t>
      </w:r>
      <w:proofErr w:type="spellEnd"/>
      <w:r>
        <w:rPr>
          <w:rFonts w:cs="David" w:hint="cs"/>
          <w:sz w:val="24"/>
          <w:szCs w:val="24"/>
          <w:rtl/>
        </w:rPr>
        <w:t xml:space="preserve"> לשלם שצריכות להיות במאוחד. אותו הדבר עם הוצאות המימון </w:t>
      </w:r>
      <w:r>
        <w:rPr>
          <w:rFonts w:cs="David"/>
          <w:sz w:val="24"/>
          <w:szCs w:val="24"/>
          <w:rtl/>
        </w:rPr>
        <w:t>–</w:t>
      </w:r>
      <w:r>
        <w:rPr>
          <w:rFonts w:cs="David" w:hint="cs"/>
          <w:sz w:val="24"/>
          <w:szCs w:val="24"/>
          <w:rtl/>
        </w:rPr>
        <w:t xml:space="preserve"> נבטל את מה שרשמה א' ונרשום את מה שצריך להיות במאוחד.</w:t>
      </w:r>
    </w:p>
    <w:p w:rsidR="00E01A5B" w:rsidRDefault="00E01A5B" w:rsidP="00E01A5B">
      <w:pPr>
        <w:spacing w:line="360" w:lineRule="auto"/>
        <w:jc w:val="both"/>
        <w:rPr>
          <w:rFonts w:cs="David"/>
          <w:b/>
          <w:bCs/>
          <w:sz w:val="24"/>
          <w:szCs w:val="24"/>
          <w:rtl/>
        </w:rPr>
      </w:pPr>
      <w:r>
        <w:rPr>
          <w:rFonts w:cs="David" w:hint="cs"/>
          <w:b/>
          <w:bCs/>
          <w:sz w:val="24"/>
          <w:szCs w:val="24"/>
          <w:rtl/>
        </w:rPr>
        <w:t>מבחינת חלוקות</w:t>
      </w:r>
    </w:p>
    <w:p w:rsidR="00E01A5B" w:rsidRDefault="00E01A5B" w:rsidP="00E01A5B">
      <w:pPr>
        <w:spacing w:line="360" w:lineRule="auto"/>
        <w:jc w:val="both"/>
        <w:rPr>
          <w:rFonts w:cs="David"/>
          <w:sz w:val="24"/>
          <w:szCs w:val="24"/>
          <w:rtl/>
        </w:rPr>
      </w:pPr>
      <w:r>
        <w:rPr>
          <w:rFonts w:cs="David" w:hint="cs"/>
          <w:b/>
          <w:bCs/>
          <w:sz w:val="24"/>
          <w:szCs w:val="24"/>
          <w:rtl/>
        </w:rPr>
        <w:t xml:space="preserve">לגבי עסקת פדיון מוקדם </w:t>
      </w:r>
      <w:r>
        <w:rPr>
          <w:rFonts w:cs="David"/>
          <w:b/>
          <w:bCs/>
          <w:sz w:val="24"/>
          <w:szCs w:val="24"/>
          <w:rtl/>
        </w:rPr>
        <w:t>–</w:t>
      </w:r>
      <w:r>
        <w:rPr>
          <w:rFonts w:cs="David" w:hint="cs"/>
          <w:b/>
          <w:bCs/>
          <w:sz w:val="24"/>
          <w:szCs w:val="24"/>
          <w:rtl/>
        </w:rPr>
        <w:t xml:space="preserve"> </w:t>
      </w:r>
      <w:r>
        <w:rPr>
          <w:rFonts w:cs="David" w:hint="cs"/>
          <w:sz w:val="24"/>
          <w:szCs w:val="24"/>
          <w:rtl/>
        </w:rPr>
        <w:t xml:space="preserve">הרווח מהפדיון המוקדם והמימוש שלו מיוחס לחברה המנפיקה </w:t>
      </w:r>
      <w:proofErr w:type="spellStart"/>
      <w:r>
        <w:rPr>
          <w:rFonts w:cs="David" w:hint="cs"/>
          <w:sz w:val="24"/>
          <w:szCs w:val="24"/>
          <w:rtl/>
        </w:rPr>
        <w:t>אצלינו</w:t>
      </w:r>
      <w:proofErr w:type="spellEnd"/>
      <w:r>
        <w:rPr>
          <w:rFonts w:cs="David" w:hint="cs"/>
          <w:sz w:val="24"/>
          <w:szCs w:val="24"/>
          <w:rtl/>
        </w:rPr>
        <w:t xml:space="preserve"> זו חברה א' כי היא "אשמה " ברוו</w:t>
      </w:r>
      <w:bookmarkStart w:id="0" w:name="_GoBack"/>
      <w:bookmarkEnd w:id="0"/>
      <w:r>
        <w:rPr>
          <w:rFonts w:cs="David" w:hint="cs"/>
          <w:sz w:val="24"/>
          <w:szCs w:val="24"/>
          <w:rtl/>
        </w:rPr>
        <w:t xml:space="preserve">ח או בהפסד שנוצר. </w:t>
      </w:r>
    </w:p>
    <w:p w:rsidR="00E01A5B" w:rsidRDefault="00E01A5B" w:rsidP="00E01A5B">
      <w:pPr>
        <w:spacing w:line="360" w:lineRule="auto"/>
        <w:jc w:val="both"/>
        <w:rPr>
          <w:rFonts w:cs="David"/>
          <w:sz w:val="24"/>
          <w:szCs w:val="24"/>
          <w:rtl/>
        </w:rPr>
      </w:pPr>
      <w:r>
        <w:rPr>
          <w:rFonts w:cs="David" w:hint="cs"/>
          <w:b/>
          <w:bCs/>
          <w:sz w:val="24"/>
          <w:szCs w:val="24"/>
          <w:rtl/>
        </w:rPr>
        <w:t xml:space="preserve">לגבי עסקת מכירת </w:t>
      </w:r>
      <w:proofErr w:type="spellStart"/>
      <w:r>
        <w:rPr>
          <w:rFonts w:cs="David" w:hint="cs"/>
          <w:b/>
          <w:bCs/>
          <w:sz w:val="24"/>
          <w:szCs w:val="24"/>
          <w:rtl/>
        </w:rPr>
        <w:t>האג"ח</w:t>
      </w:r>
      <w:proofErr w:type="spellEnd"/>
      <w:r>
        <w:rPr>
          <w:rFonts w:cs="David" w:hint="cs"/>
          <w:b/>
          <w:bCs/>
          <w:sz w:val="24"/>
          <w:szCs w:val="24"/>
          <w:rtl/>
        </w:rPr>
        <w:t xml:space="preserve">- </w:t>
      </w:r>
      <w:r>
        <w:rPr>
          <w:rFonts w:cs="David" w:hint="cs"/>
          <w:sz w:val="24"/>
          <w:szCs w:val="24"/>
          <w:rtl/>
        </w:rPr>
        <w:t xml:space="preserve">עת הרווח או ההפסד מני"ע ואת כל ההשלכות </w:t>
      </w:r>
      <w:r w:rsidR="006570DA">
        <w:rPr>
          <w:rFonts w:cs="David" w:hint="cs"/>
          <w:sz w:val="24"/>
          <w:szCs w:val="24"/>
          <w:rtl/>
        </w:rPr>
        <w:t xml:space="preserve">שלו בהמשך יש לייחס לחברה המוכרת </w:t>
      </w:r>
      <w:proofErr w:type="spellStart"/>
      <w:r w:rsidR="006570DA">
        <w:rPr>
          <w:rFonts w:cs="David" w:hint="cs"/>
          <w:sz w:val="24"/>
          <w:szCs w:val="24"/>
          <w:rtl/>
        </w:rPr>
        <w:t>אצלינו</w:t>
      </w:r>
      <w:proofErr w:type="spellEnd"/>
      <w:r w:rsidR="006570DA">
        <w:rPr>
          <w:rFonts w:cs="David" w:hint="cs"/>
          <w:sz w:val="24"/>
          <w:szCs w:val="24"/>
          <w:rtl/>
        </w:rPr>
        <w:t xml:space="preserve"> לחברה ב'. </w:t>
      </w:r>
    </w:p>
    <w:p w:rsidR="00C072EC" w:rsidRDefault="00C072EC" w:rsidP="00E01A5B">
      <w:pPr>
        <w:spacing w:line="360" w:lineRule="auto"/>
        <w:jc w:val="both"/>
        <w:rPr>
          <w:rFonts w:cs="David"/>
          <w:sz w:val="24"/>
          <w:szCs w:val="24"/>
          <w:rtl/>
        </w:rPr>
      </w:pPr>
    </w:p>
    <w:p w:rsidR="00C072EC" w:rsidRDefault="00C072EC" w:rsidP="00E01A5B">
      <w:pPr>
        <w:spacing w:line="360" w:lineRule="auto"/>
        <w:jc w:val="both"/>
        <w:rPr>
          <w:rFonts w:cs="David"/>
          <w:sz w:val="24"/>
          <w:szCs w:val="24"/>
          <w:rtl/>
        </w:rPr>
      </w:pPr>
    </w:p>
    <w:p w:rsidR="00C072EC" w:rsidRDefault="00C072EC" w:rsidP="00E01A5B">
      <w:pPr>
        <w:spacing w:line="360" w:lineRule="auto"/>
        <w:jc w:val="both"/>
        <w:rPr>
          <w:rFonts w:cs="David"/>
          <w:sz w:val="24"/>
          <w:szCs w:val="24"/>
          <w:rtl/>
        </w:rPr>
      </w:pPr>
    </w:p>
    <w:p w:rsidR="00C072EC" w:rsidRDefault="00C072EC" w:rsidP="00E01A5B">
      <w:pPr>
        <w:spacing w:line="360" w:lineRule="auto"/>
        <w:jc w:val="both"/>
        <w:rPr>
          <w:rFonts w:cs="David"/>
          <w:sz w:val="24"/>
          <w:szCs w:val="24"/>
          <w:rtl/>
        </w:rPr>
      </w:pPr>
    </w:p>
    <w:p w:rsidR="00C072EC" w:rsidRDefault="00C072EC" w:rsidP="00C072EC">
      <w:pPr>
        <w:spacing w:line="360" w:lineRule="auto"/>
        <w:jc w:val="center"/>
        <w:rPr>
          <w:rFonts w:cs="David"/>
          <w:b/>
          <w:bCs/>
          <w:sz w:val="24"/>
          <w:szCs w:val="24"/>
          <w:rtl/>
        </w:rPr>
      </w:pPr>
      <w:r w:rsidRPr="003041E1">
        <w:rPr>
          <w:rFonts w:cs="David" w:hint="cs"/>
          <w:b/>
          <w:bCs/>
          <w:color w:val="FF0000"/>
          <w:sz w:val="24"/>
          <w:szCs w:val="24"/>
          <w:rtl/>
        </w:rPr>
        <w:lastRenderedPageBreak/>
        <w:t xml:space="preserve">מקרה </w:t>
      </w:r>
      <w:r>
        <w:rPr>
          <w:rFonts w:cs="David" w:hint="cs"/>
          <w:b/>
          <w:bCs/>
          <w:color w:val="FF0000"/>
          <w:sz w:val="24"/>
          <w:szCs w:val="24"/>
          <w:rtl/>
        </w:rPr>
        <w:t>שני</w:t>
      </w:r>
      <w:r>
        <w:rPr>
          <w:rFonts w:cs="David" w:hint="cs"/>
          <w:b/>
          <w:bCs/>
          <w:sz w:val="24"/>
          <w:szCs w:val="24"/>
          <w:rtl/>
        </w:rPr>
        <w:t xml:space="preserve"> - </w:t>
      </w:r>
      <w:r w:rsidRPr="00600923">
        <w:rPr>
          <w:rFonts w:cs="David" w:hint="cs"/>
          <w:b/>
          <w:bCs/>
          <w:sz w:val="24"/>
          <w:szCs w:val="24"/>
          <w:rtl/>
        </w:rPr>
        <w:t>כשהה</w:t>
      </w:r>
      <w:r>
        <w:rPr>
          <w:rFonts w:cs="David" w:hint="cs"/>
          <w:b/>
          <w:bCs/>
          <w:sz w:val="24"/>
          <w:szCs w:val="24"/>
          <w:rtl/>
        </w:rPr>
        <w:t>שקעה באג"ח מסווגת כמוחזקת למסחר</w:t>
      </w:r>
    </w:p>
    <w:p w:rsidR="00C072EC" w:rsidRDefault="00C072EC" w:rsidP="00E01A5B">
      <w:pPr>
        <w:spacing w:line="360" w:lineRule="auto"/>
        <w:jc w:val="both"/>
        <w:rPr>
          <w:rFonts w:cs="David"/>
          <w:sz w:val="24"/>
          <w:szCs w:val="24"/>
          <w:rtl/>
        </w:rPr>
      </w:pPr>
      <w:r>
        <w:rPr>
          <w:rFonts w:cs="David" w:hint="cs"/>
          <w:sz w:val="24"/>
          <w:szCs w:val="24"/>
          <w:rtl/>
        </w:rPr>
        <w:t xml:space="preserve">עד עכשיו דיברנו על השקעה באג"ח המנוהלת בהשקעה המוחזקת לפדיון (לפיי שיטת </w:t>
      </w:r>
      <w:proofErr w:type="spellStart"/>
      <w:r>
        <w:rPr>
          <w:rFonts w:cs="David" w:hint="cs"/>
          <w:sz w:val="24"/>
          <w:szCs w:val="24"/>
          <w:rtl/>
        </w:rPr>
        <w:t>הע"מ</w:t>
      </w:r>
      <w:proofErr w:type="spellEnd"/>
      <w:r>
        <w:rPr>
          <w:rFonts w:cs="David" w:hint="cs"/>
          <w:sz w:val="24"/>
          <w:szCs w:val="24"/>
          <w:rtl/>
        </w:rPr>
        <w:t>).</w:t>
      </w:r>
    </w:p>
    <w:p w:rsidR="00C072EC" w:rsidRDefault="00C072EC" w:rsidP="00C072EC">
      <w:pPr>
        <w:spacing w:line="360" w:lineRule="auto"/>
        <w:jc w:val="both"/>
        <w:rPr>
          <w:rFonts w:cs="David"/>
          <w:sz w:val="24"/>
          <w:szCs w:val="24"/>
          <w:rtl/>
        </w:rPr>
      </w:pPr>
      <w:r>
        <w:rPr>
          <w:rFonts w:cs="David" w:hint="cs"/>
          <w:sz w:val="24"/>
          <w:szCs w:val="24"/>
          <w:rtl/>
        </w:rPr>
        <w:t xml:space="preserve">אם ההשקעה מסווגת כמוחזקת למסחר אז הרעיון הוא בדיוק אותו הרעיון וזה אומר שהחברה המנפיקה מנהלת אצלה את </w:t>
      </w:r>
      <w:proofErr w:type="spellStart"/>
      <w:r>
        <w:rPr>
          <w:rFonts w:cs="David" w:hint="cs"/>
          <w:sz w:val="24"/>
          <w:szCs w:val="24"/>
          <w:rtl/>
        </w:rPr>
        <w:t>האג"ח</w:t>
      </w:r>
      <w:proofErr w:type="spellEnd"/>
      <w:r>
        <w:rPr>
          <w:rFonts w:cs="David" w:hint="cs"/>
          <w:sz w:val="24"/>
          <w:szCs w:val="24"/>
          <w:rtl/>
        </w:rPr>
        <w:t xml:space="preserve"> שלם כרגיל לפי שיטת העלות המופחתת החברה הרוכשת מנהלת את ההשקעה לפי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w:t>
      </w:r>
    </w:p>
    <w:p w:rsidR="00C072EC" w:rsidRDefault="00C072EC" w:rsidP="00C072EC">
      <w:pPr>
        <w:spacing w:line="360" w:lineRule="auto"/>
        <w:jc w:val="both"/>
        <w:rPr>
          <w:rFonts w:cs="David"/>
          <w:sz w:val="24"/>
          <w:szCs w:val="24"/>
          <w:rtl/>
        </w:rPr>
      </w:pPr>
      <w:r>
        <w:rPr>
          <w:rFonts w:cs="David" w:hint="cs"/>
          <w:b/>
          <w:bCs/>
          <w:sz w:val="24"/>
          <w:szCs w:val="24"/>
          <w:rtl/>
        </w:rPr>
        <w:t xml:space="preserve">במאוחד- </w:t>
      </w:r>
      <w:r>
        <w:rPr>
          <w:rFonts w:cs="David" w:hint="cs"/>
          <w:sz w:val="24"/>
          <w:szCs w:val="24"/>
          <w:rtl/>
        </w:rPr>
        <w:t xml:space="preserve">אם חברה אחת רוכשת את </w:t>
      </w:r>
      <w:proofErr w:type="spellStart"/>
      <w:r>
        <w:rPr>
          <w:rFonts w:cs="David" w:hint="cs"/>
          <w:sz w:val="24"/>
          <w:szCs w:val="24"/>
          <w:rtl/>
        </w:rPr>
        <w:t>האג"ח</w:t>
      </w:r>
      <w:proofErr w:type="spellEnd"/>
      <w:r>
        <w:rPr>
          <w:rFonts w:cs="David" w:hint="cs"/>
          <w:sz w:val="24"/>
          <w:szCs w:val="24"/>
          <w:rtl/>
        </w:rPr>
        <w:t xml:space="preserve"> של החברה </w:t>
      </w:r>
      <w:proofErr w:type="spellStart"/>
      <w:r>
        <w:rPr>
          <w:rFonts w:cs="David" w:hint="cs"/>
          <w:sz w:val="24"/>
          <w:szCs w:val="24"/>
          <w:rtl/>
        </w:rPr>
        <w:t>השניה</w:t>
      </w:r>
      <w:proofErr w:type="spellEnd"/>
      <w:r>
        <w:rPr>
          <w:rFonts w:cs="David" w:hint="cs"/>
          <w:sz w:val="24"/>
          <w:szCs w:val="24"/>
          <w:rtl/>
        </w:rPr>
        <w:t xml:space="preserve"> יש ליצור רווח או הפסד מפדיון מוקדם וכל השנה מאותו יום ואילך יש לבטל את כל מה שקשור לאג"ח בספרי כל חברה.</w:t>
      </w:r>
    </w:p>
    <w:p w:rsidR="00C072EC" w:rsidRDefault="00C072EC" w:rsidP="00C072EC">
      <w:pPr>
        <w:spacing w:line="360" w:lineRule="auto"/>
        <w:jc w:val="both"/>
        <w:rPr>
          <w:rFonts w:cs="David"/>
          <w:b/>
          <w:bCs/>
          <w:color w:val="00B050"/>
          <w:sz w:val="24"/>
          <w:szCs w:val="24"/>
          <w:u w:val="single"/>
          <w:rtl/>
        </w:rPr>
      </w:pPr>
      <w:r>
        <w:rPr>
          <w:rFonts w:cs="David" w:hint="cs"/>
          <w:b/>
          <w:bCs/>
          <w:sz w:val="24"/>
          <w:szCs w:val="24"/>
          <w:rtl/>
        </w:rPr>
        <w:t xml:space="preserve">לגבי החלוקות- </w:t>
      </w:r>
      <w:r>
        <w:rPr>
          <w:rFonts w:cs="David" w:hint="cs"/>
          <w:sz w:val="24"/>
          <w:szCs w:val="24"/>
          <w:rtl/>
        </w:rPr>
        <w:t xml:space="preserve">כל מה שקשור לעסקת הפדיון שזה רווח או הפסד מפדיון מוקדם והמימוש שלו מיוחס לחברה המנפיקה וכל השאר מיוחד לחברה הרוכשת שהרי העדכון </w:t>
      </w:r>
      <w:proofErr w:type="spellStart"/>
      <w:r>
        <w:rPr>
          <w:rFonts w:cs="David" w:hint="cs"/>
          <w:sz w:val="24"/>
          <w:szCs w:val="24"/>
          <w:rtl/>
        </w:rPr>
        <w:t>לשוו"ה</w:t>
      </w:r>
      <w:proofErr w:type="spellEnd"/>
      <w:r>
        <w:rPr>
          <w:rFonts w:cs="David" w:hint="cs"/>
          <w:sz w:val="24"/>
          <w:szCs w:val="24"/>
          <w:rtl/>
        </w:rPr>
        <w:t xml:space="preserve"> בהמשך בכלל לא קשור לעסקת הפדיון המקורית </w:t>
      </w:r>
      <w:r>
        <w:rPr>
          <w:rFonts w:cs="David" w:hint="cs"/>
          <w:b/>
          <w:bCs/>
          <w:color w:val="00B050"/>
          <w:sz w:val="24"/>
          <w:szCs w:val="24"/>
          <w:u w:val="single"/>
          <w:rtl/>
        </w:rPr>
        <w:t xml:space="preserve">דוגמא 21 </w:t>
      </w:r>
    </w:p>
    <w:p w:rsidR="003865A8" w:rsidRDefault="003865A8" w:rsidP="003865A8">
      <w:pPr>
        <w:spacing w:line="360" w:lineRule="auto"/>
        <w:jc w:val="center"/>
        <w:rPr>
          <w:rFonts w:cs="David"/>
          <w:b/>
          <w:bCs/>
          <w:sz w:val="24"/>
          <w:szCs w:val="24"/>
          <w:rtl/>
        </w:rPr>
      </w:pPr>
      <w:r w:rsidRPr="003041E1">
        <w:rPr>
          <w:rFonts w:cs="David" w:hint="cs"/>
          <w:b/>
          <w:bCs/>
          <w:color w:val="FF0000"/>
          <w:sz w:val="24"/>
          <w:szCs w:val="24"/>
          <w:rtl/>
        </w:rPr>
        <w:t xml:space="preserve">מקרה </w:t>
      </w:r>
      <w:r>
        <w:rPr>
          <w:rFonts w:cs="David" w:hint="cs"/>
          <w:b/>
          <w:bCs/>
          <w:color w:val="FF0000"/>
          <w:sz w:val="24"/>
          <w:szCs w:val="24"/>
          <w:rtl/>
        </w:rPr>
        <w:t>שלישי</w:t>
      </w:r>
      <w:r>
        <w:rPr>
          <w:rFonts w:cs="David" w:hint="cs"/>
          <w:b/>
          <w:bCs/>
          <w:sz w:val="24"/>
          <w:szCs w:val="24"/>
          <w:rtl/>
        </w:rPr>
        <w:t xml:space="preserve"> - </w:t>
      </w:r>
      <w:r w:rsidRPr="00600923">
        <w:rPr>
          <w:rFonts w:cs="David" w:hint="cs"/>
          <w:b/>
          <w:bCs/>
          <w:sz w:val="24"/>
          <w:szCs w:val="24"/>
          <w:rtl/>
        </w:rPr>
        <w:t>כשהה</w:t>
      </w:r>
      <w:r>
        <w:rPr>
          <w:rFonts w:cs="David" w:hint="cs"/>
          <w:b/>
          <w:bCs/>
          <w:sz w:val="24"/>
          <w:szCs w:val="24"/>
          <w:rtl/>
        </w:rPr>
        <w:t>שקעה באג"ח מסווגת כזמינה למכירה</w:t>
      </w:r>
    </w:p>
    <w:p w:rsidR="003865A8" w:rsidRDefault="003865A8" w:rsidP="003865A8">
      <w:pPr>
        <w:spacing w:line="360" w:lineRule="auto"/>
        <w:rPr>
          <w:rFonts w:cs="David"/>
          <w:sz w:val="24"/>
          <w:szCs w:val="24"/>
          <w:rtl/>
        </w:rPr>
      </w:pPr>
      <w:r>
        <w:rPr>
          <w:rFonts w:cs="David" w:hint="cs"/>
          <w:sz w:val="24"/>
          <w:szCs w:val="24"/>
          <w:rtl/>
        </w:rPr>
        <w:t xml:space="preserve">הרעיון הוא בדיוק אותו רעיון כאשר ההשקעה מוחזקת </w:t>
      </w:r>
      <w:proofErr w:type="spellStart"/>
      <w:r>
        <w:rPr>
          <w:rFonts w:cs="David" w:hint="cs"/>
          <w:sz w:val="24"/>
          <w:szCs w:val="24"/>
          <w:rtl/>
        </w:rPr>
        <w:t>כז"ל</w:t>
      </w:r>
      <w:proofErr w:type="spellEnd"/>
      <w:r>
        <w:rPr>
          <w:rFonts w:cs="David" w:hint="cs"/>
          <w:sz w:val="24"/>
          <w:szCs w:val="24"/>
          <w:rtl/>
        </w:rPr>
        <w:t xml:space="preserve"> וזה אומר שכל השנה ההשקעה מנוהל בשיטת העלות המופחתת ובסוף כל שנה מעמידים אותה על </w:t>
      </w:r>
      <w:proofErr w:type="spellStart"/>
      <w:r>
        <w:rPr>
          <w:rFonts w:cs="David" w:hint="cs"/>
          <w:sz w:val="24"/>
          <w:szCs w:val="24"/>
          <w:rtl/>
        </w:rPr>
        <w:t>שוו"ה</w:t>
      </w:r>
      <w:proofErr w:type="spellEnd"/>
      <w:r>
        <w:rPr>
          <w:rFonts w:cs="David" w:hint="cs"/>
          <w:sz w:val="24"/>
          <w:szCs w:val="24"/>
          <w:rtl/>
        </w:rPr>
        <w:t xml:space="preserve"> מול קרן הון </w:t>
      </w:r>
    </w:p>
    <w:p w:rsidR="003865A8" w:rsidRDefault="003865A8" w:rsidP="003865A8">
      <w:pPr>
        <w:spacing w:line="360" w:lineRule="auto"/>
        <w:rPr>
          <w:rFonts w:cs="David"/>
          <w:b/>
          <w:bCs/>
          <w:color w:val="00B050"/>
          <w:sz w:val="24"/>
          <w:szCs w:val="24"/>
          <w:u w:val="single"/>
          <w:rtl/>
        </w:rPr>
      </w:pPr>
      <w:r w:rsidRPr="003865A8">
        <w:rPr>
          <w:rFonts w:cs="David" w:hint="cs"/>
          <w:b/>
          <w:bCs/>
          <w:color w:val="00B050"/>
          <w:sz w:val="24"/>
          <w:szCs w:val="24"/>
          <w:u w:val="single"/>
          <w:rtl/>
        </w:rPr>
        <w:t xml:space="preserve">נניח שבדוגמא הקודמת (21) נתון שב' מנהלת את </w:t>
      </w:r>
      <w:proofErr w:type="spellStart"/>
      <w:r w:rsidRPr="003865A8">
        <w:rPr>
          <w:rFonts w:cs="David" w:hint="cs"/>
          <w:b/>
          <w:bCs/>
          <w:color w:val="00B050"/>
          <w:sz w:val="24"/>
          <w:szCs w:val="24"/>
          <w:u w:val="single"/>
          <w:rtl/>
        </w:rPr>
        <w:t>האג"ח</w:t>
      </w:r>
      <w:proofErr w:type="spellEnd"/>
      <w:r w:rsidRPr="003865A8">
        <w:rPr>
          <w:rFonts w:cs="David" w:hint="cs"/>
          <w:b/>
          <w:bCs/>
          <w:color w:val="00B050"/>
          <w:sz w:val="24"/>
          <w:szCs w:val="24"/>
          <w:u w:val="single"/>
          <w:rtl/>
        </w:rPr>
        <w:t xml:space="preserve"> </w:t>
      </w:r>
      <w:proofErr w:type="spellStart"/>
      <w:r w:rsidRPr="003865A8">
        <w:rPr>
          <w:rFonts w:cs="David" w:hint="cs"/>
          <w:b/>
          <w:bCs/>
          <w:color w:val="00B050"/>
          <w:sz w:val="24"/>
          <w:szCs w:val="24"/>
          <w:u w:val="single"/>
          <w:rtl/>
        </w:rPr>
        <w:t>כז</w:t>
      </w:r>
      <w:r>
        <w:rPr>
          <w:rFonts w:cs="David" w:hint="cs"/>
          <w:b/>
          <w:bCs/>
          <w:color w:val="00B050"/>
          <w:sz w:val="24"/>
          <w:szCs w:val="24"/>
          <w:u w:val="single"/>
          <w:rtl/>
        </w:rPr>
        <w:t>"ל</w:t>
      </w:r>
      <w:proofErr w:type="spellEnd"/>
    </w:p>
    <w:p w:rsidR="00C871D0" w:rsidRPr="00C871D0" w:rsidRDefault="00C871D0" w:rsidP="00C871D0">
      <w:pPr>
        <w:spacing w:line="360" w:lineRule="auto"/>
        <w:jc w:val="center"/>
        <w:rPr>
          <w:rFonts w:cs="David"/>
          <w:b/>
          <w:bCs/>
          <w:sz w:val="24"/>
          <w:szCs w:val="24"/>
          <w:u w:val="single"/>
          <w:rtl/>
        </w:rPr>
      </w:pPr>
      <w:r>
        <w:rPr>
          <w:rFonts w:cs="David" w:hint="cs"/>
          <w:b/>
          <w:bCs/>
          <w:sz w:val="24"/>
          <w:szCs w:val="24"/>
          <w:u w:val="single"/>
          <w:rtl/>
        </w:rPr>
        <w:t>מדיניות חשבונאית שונה</w:t>
      </w:r>
    </w:p>
    <w:p w:rsidR="00C072EC" w:rsidRDefault="00BC2E9C" w:rsidP="00036649">
      <w:pPr>
        <w:spacing w:line="360" w:lineRule="auto"/>
        <w:jc w:val="both"/>
        <w:rPr>
          <w:rFonts w:cs="David"/>
          <w:sz w:val="24"/>
          <w:szCs w:val="24"/>
          <w:rtl/>
        </w:rPr>
      </w:pPr>
      <w:r>
        <w:rPr>
          <w:rFonts w:cs="David" w:hint="cs"/>
          <w:sz w:val="24"/>
          <w:szCs w:val="24"/>
          <w:rtl/>
        </w:rPr>
        <w:t xml:space="preserve">זהה לאקוויטי הרעיון הוא שמדובר בקבוצה אחת (חברה אחת) ולכן המדיניות החשבונאית של אותה קבוצת נכסים חייבת להיות זהה. </w:t>
      </w:r>
      <w:r w:rsidR="00C871D0">
        <w:rPr>
          <w:rFonts w:cs="David" w:hint="cs"/>
          <w:sz w:val="24"/>
          <w:szCs w:val="24"/>
          <w:rtl/>
        </w:rPr>
        <w:t xml:space="preserve">אם ביום הרכישה בספרי ב' קיים נכס שחברה ב' מיישמת לגביו מדיניות חשבונאית שונה משל א' אז לפני שמחשבים את ע"ע יש לתקן את ההון העצמי של ב' כדי להתאים אותו למדיניות של א'. מיום הרכישה ואילך יש להמשיך ולהתאים את הדו"חות של ב' למדיניות של א' אם בנקודה </w:t>
      </w:r>
      <w:proofErr w:type="spellStart"/>
      <w:r w:rsidR="00C871D0">
        <w:rPr>
          <w:rFonts w:cs="David" w:hint="cs"/>
          <w:sz w:val="24"/>
          <w:szCs w:val="24"/>
          <w:rtl/>
        </w:rPr>
        <w:t>מסויימת</w:t>
      </w:r>
      <w:proofErr w:type="spellEnd"/>
      <w:r w:rsidR="00C871D0">
        <w:rPr>
          <w:rFonts w:cs="David" w:hint="cs"/>
          <w:sz w:val="24"/>
          <w:szCs w:val="24"/>
          <w:rtl/>
        </w:rPr>
        <w:t xml:space="preserve"> שינתה חברה ב' את המדיניות שלה למדיניות של א' וזה אומר שהיא תיקנה רטרואקטיבית את </w:t>
      </w:r>
      <w:proofErr w:type="spellStart"/>
      <w:r w:rsidR="00C871D0">
        <w:rPr>
          <w:rFonts w:cs="David" w:hint="cs"/>
          <w:sz w:val="24"/>
          <w:szCs w:val="24"/>
          <w:rtl/>
        </w:rPr>
        <w:t>הדוכ"ס</w:t>
      </w:r>
      <w:proofErr w:type="spellEnd"/>
      <w:r w:rsidR="00C871D0">
        <w:rPr>
          <w:rFonts w:cs="David" w:hint="cs"/>
          <w:sz w:val="24"/>
          <w:szCs w:val="24"/>
          <w:rtl/>
        </w:rPr>
        <w:t xml:space="preserve"> שלה אז אנו לא נעשה כלום כלומר לא צריך לעשות שום תיקון לא </w:t>
      </w:r>
      <w:proofErr w:type="spellStart"/>
      <w:r w:rsidR="00C871D0">
        <w:rPr>
          <w:rFonts w:cs="David" w:hint="cs"/>
          <w:sz w:val="24"/>
          <w:szCs w:val="24"/>
          <w:rtl/>
        </w:rPr>
        <w:t>לי"פ</w:t>
      </w:r>
      <w:proofErr w:type="spellEnd"/>
      <w:r w:rsidR="00C871D0">
        <w:rPr>
          <w:rFonts w:cs="David" w:hint="cs"/>
          <w:sz w:val="24"/>
          <w:szCs w:val="24"/>
          <w:rtl/>
        </w:rPr>
        <w:t xml:space="preserve"> לא לרווח ולא </w:t>
      </w:r>
      <w:proofErr w:type="spellStart"/>
      <w:r w:rsidR="00C871D0">
        <w:rPr>
          <w:rFonts w:cs="David" w:hint="cs"/>
          <w:sz w:val="24"/>
          <w:szCs w:val="24"/>
          <w:rtl/>
        </w:rPr>
        <w:t>לי"ס</w:t>
      </w:r>
      <w:proofErr w:type="spellEnd"/>
      <w:r w:rsidR="00C871D0">
        <w:rPr>
          <w:rFonts w:cs="David" w:hint="cs"/>
          <w:sz w:val="24"/>
          <w:szCs w:val="24"/>
          <w:rtl/>
        </w:rPr>
        <w:t xml:space="preserve"> כי ב' ביצעה תיקון רטרואקטיבי וזה אומר שהעודפים </w:t>
      </w:r>
      <w:proofErr w:type="spellStart"/>
      <w:r w:rsidR="00C871D0">
        <w:rPr>
          <w:rFonts w:cs="David" w:hint="cs"/>
          <w:sz w:val="24"/>
          <w:szCs w:val="24"/>
          <w:rtl/>
        </w:rPr>
        <w:t>י"פ</w:t>
      </w:r>
      <w:proofErr w:type="spellEnd"/>
      <w:r w:rsidR="00C871D0">
        <w:rPr>
          <w:rFonts w:cs="David" w:hint="cs"/>
          <w:sz w:val="24"/>
          <w:szCs w:val="24"/>
          <w:rtl/>
        </w:rPr>
        <w:t xml:space="preserve"> שלה מהדו"ח הנפרד שלה מוצגים לפי המדיניות של א'. מבחינה טכנית אנו נטפל בזה כמו בע"פ כלומר בשלב השני נעשה את הטבלה הטכנית כאשר זה תמיד ייכנס לתרומות של חברה ב' כי את הדו"חות של ב' אנו מתקנים זה אומר </w:t>
      </w:r>
      <w:proofErr w:type="spellStart"/>
      <w:r w:rsidR="00C871D0">
        <w:rPr>
          <w:rFonts w:cs="David" w:hint="cs"/>
          <w:sz w:val="24"/>
          <w:szCs w:val="24"/>
          <w:rtl/>
        </w:rPr>
        <w:t>שהזשמ"ש</w:t>
      </w:r>
      <w:proofErr w:type="spellEnd"/>
      <w:r w:rsidR="00C871D0">
        <w:rPr>
          <w:rFonts w:cs="David" w:hint="cs"/>
          <w:sz w:val="24"/>
          <w:szCs w:val="24"/>
          <w:rtl/>
        </w:rPr>
        <w:t xml:space="preserve"> משתתף בזה . </w:t>
      </w:r>
    </w:p>
    <w:sectPr w:rsidR="00C072EC" w:rsidSect="00D94CBC">
      <w:headerReference w:type="default" r:id="rId8"/>
      <w:footerReference w:type="default" r:id="rId9"/>
      <w:pgSz w:w="11906" w:h="16838"/>
      <w:pgMar w:top="1440" w:right="1800" w:bottom="1440" w:left="1800" w:header="708" w:footer="708" w:gutter="0"/>
      <w:pgNumType w:start="2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8C" w:rsidRDefault="0006748C" w:rsidP="00F172F9">
      <w:pPr>
        <w:spacing w:after="0" w:line="240" w:lineRule="auto"/>
      </w:pPr>
      <w:r>
        <w:separator/>
      </w:r>
    </w:p>
  </w:endnote>
  <w:endnote w:type="continuationSeparator" w:id="0">
    <w:p w:rsidR="0006748C" w:rsidRDefault="0006748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6469769"/>
      <w:docPartObj>
        <w:docPartGallery w:val="Page Numbers (Bottom of Page)"/>
        <w:docPartUnique/>
      </w:docPartObj>
    </w:sdtPr>
    <w:sdtEndPr/>
    <w:sdtContent>
      <w:p w:rsidR="00C8297B" w:rsidRDefault="00C8297B">
        <w:pPr>
          <w:pStyle w:val="a5"/>
          <w:jc w:val="center"/>
          <w:rPr>
            <w:rtl/>
            <w:cs/>
          </w:rPr>
        </w:pPr>
        <w:r>
          <w:fldChar w:fldCharType="begin"/>
        </w:r>
        <w:r>
          <w:rPr>
            <w:rtl/>
            <w:cs/>
          </w:rPr>
          <w:instrText>PAGE   \* MERGEFORMAT</w:instrText>
        </w:r>
        <w:r>
          <w:fldChar w:fldCharType="separate"/>
        </w:r>
        <w:r w:rsidR="00D94CBC" w:rsidRPr="00D94CBC">
          <w:rPr>
            <w:noProof/>
            <w:rtl/>
            <w:lang w:val="he-IL"/>
          </w:rPr>
          <w:t>28</w:t>
        </w:r>
        <w:r>
          <w:fldChar w:fldCharType="end"/>
        </w:r>
      </w:p>
    </w:sdtContent>
  </w:sdt>
  <w:p w:rsidR="00C8297B" w:rsidRDefault="00C82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8C" w:rsidRDefault="0006748C" w:rsidP="00F172F9">
      <w:pPr>
        <w:spacing w:after="0" w:line="240" w:lineRule="auto"/>
      </w:pPr>
      <w:r>
        <w:separator/>
      </w:r>
    </w:p>
  </w:footnote>
  <w:footnote w:type="continuationSeparator" w:id="0">
    <w:p w:rsidR="0006748C" w:rsidRDefault="0006748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7B" w:rsidRPr="00F172F9" w:rsidRDefault="00C8297B"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sidR="00B42257">
      <w:rPr>
        <w:rFonts w:cs="David" w:hint="cs"/>
        <w:sz w:val="24"/>
        <w:szCs w:val="24"/>
        <w:rtl/>
      </w:rPr>
      <w:t>23</w:t>
    </w:r>
    <w:r>
      <w:rPr>
        <w:rFonts w:cs="David" w:hint="cs"/>
        <w:sz w:val="24"/>
        <w:szCs w:val="24"/>
        <w:rtl/>
      </w:rPr>
      <w:t>/03/14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60D60"/>
    <w:multiLevelType w:val="hybridMultilevel"/>
    <w:tmpl w:val="1C16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74ADB"/>
    <w:multiLevelType w:val="hybridMultilevel"/>
    <w:tmpl w:val="C6008226"/>
    <w:lvl w:ilvl="0" w:tplc="E4BC8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B10F3"/>
    <w:multiLevelType w:val="hybridMultilevel"/>
    <w:tmpl w:val="864217FC"/>
    <w:lvl w:ilvl="0" w:tplc="724437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E1119"/>
    <w:multiLevelType w:val="hybridMultilevel"/>
    <w:tmpl w:val="794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D7913"/>
    <w:multiLevelType w:val="hybridMultilevel"/>
    <w:tmpl w:val="1AE40B9C"/>
    <w:lvl w:ilvl="0" w:tplc="DDC42CBA">
      <w:start w:val="10"/>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04DC2"/>
    <w:multiLevelType w:val="hybridMultilevel"/>
    <w:tmpl w:val="681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6"/>
  </w:num>
  <w:num w:numId="5">
    <w:abstractNumId w:val="15"/>
  </w:num>
  <w:num w:numId="6">
    <w:abstractNumId w:val="13"/>
  </w:num>
  <w:num w:numId="7">
    <w:abstractNumId w:val="11"/>
  </w:num>
  <w:num w:numId="8">
    <w:abstractNumId w:val="7"/>
  </w:num>
  <w:num w:numId="9">
    <w:abstractNumId w:val="1"/>
  </w:num>
  <w:num w:numId="10">
    <w:abstractNumId w:val="14"/>
  </w:num>
  <w:num w:numId="11">
    <w:abstractNumId w:val="0"/>
  </w:num>
  <w:num w:numId="12">
    <w:abstractNumId w:val="2"/>
  </w:num>
  <w:num w:numId="13">
    <w:abstractNumId w:val="9"/>
  </w:num>
  <w:num w:numId="14">
    <w:abstractNumId w:val="5"/>
  </w:num>
  <w:num w:numId="15">
    <w:abstractNumId w:val="16"/>
  </w:num>
  <w:num w:numId="16">
    <w:abstractNumId w:val="4"/>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36649"/>
    <w:rsid w:val="0004273E"/>
    <w:rsid w:val="0004387F"/>
    <w:rsid w:val="00057726"/>
    <w:rsid w:val="0006039F"/>
    <w:rsid w:val="0006748C"/>
    <w:rsid w:val="000711EB"/>
    <w:rsid w:val="000733B7"/>
    <w:rsid w:val="00073FE0"/>
    <w:rsid w:val="000945A1"/>
    <w:rsid w:val="00094D10"/>
    <w:rsid w:val="000A25BC"/>
    <w:rsid w:val="000C04AC"/>
    <w:rsid w:val="000C7C21"/>
    <w:rsid w:val="000D4AA1"/>
    <w:rsid w:val="000E0AF4"/>
    <w:rsid w:val="000E2D7F"/>
    <w:rsid w:val="000F5666"/>
    <w:rsid w:val="001014FC"/>
    <w:rsid w:val="001040B2"/>
    <w:rsid w:val="00105D60"/>
    <w:rsid w:val="00107C72"/>
    <w:rsid w:val="00120CAC"/>
    <w:rsid w:val="00137FEC"/>
    <w:rsid w:val="001416AE"/>
    <w:rsid w:val="00141C1F"/>
    <w:rsid w:val="0015101A"/>
    <w:rsid w:val="001528B5"/>
    <w:rsid w:val="00160710"/>
    <w:rsid w:val="001724A4"/>
    <w:rsid w:val="001732EE"/>
    <w:rsid w:val="00174761"/>
    <w:rsid w:val="00177F4F"/>
    <w:rsid w:val="001A3F0D"/>
    <w:rsid w:val="001A662B"/>
    <w:rsid w:val="001B557D"/>
    <w:rsid w:val="001D7530"/>
    <w:rsid w:val="001E6DAB"/>
    <w:rsid w:val="001F1958"/>
    <w:rsid w:val="001F380B"/>
    <w:rsid w:val="002135F4"/>
    <w:rsid w:val="00214B39"/>
    <w:rsid w:val="00214B4C"/>
    <w:rsid w:val="00225BB1"/>
    <w:rsid w:val="00255E31"/>
    <w:rsid w:val="00260506"/>
    <w:rsid w:val="00263D90"/>
    <w:rsid w:val="002853DF"/>
    <w:rsid w:val="002952A5"/>
    <w:rsid w:val="002A2ADF"/>
    <w:rsid w:val="002B7A91"/>
    <w:rsid w:val="002E0EC1"/>
    <w:rsid w:val="002E1759"/>
    <w:rsid w:val="003041E1"/>
    <w:rsid w:val="00314416"/>
    <w:rsid w:val="00316565"/>
    <w:rsid w:val="003202F6"/>
    <w:rsid w:val="00330BCC"/>
    <w:rsid w:val="00357D7E"/>
    <w:rsid w:val="0036592B"/>
    <w:rsid w:val="003701A4"/>
    <w:rsid w:val="003716B5"/>
    <w:rsid w:val="003865A8"/>
    <w:rsid w:val="00395B92"/>
    <w:rsid w:val="003A4E5D"/>
    <w:rsid w:val="003B16E1"/>
    <w:rsid w:val="003C7FE8"/>
    <w:rsid w:val="003D3219"/>
    <w:rsid w:val="003E4BBC"/>
    <w:rsid w:val="003E63AD"/>
    <w:rsid w:val="003F00CA"/>
    <w:rsid w:val="00401692"/>
    <w:rsid w:val="00415D40"/>
    <w:rsid w:val="004175CF"/>
    <w:rsid w:val="004234DC"/>
    <w:rsid w:val="00424CDA"/>
    <w:rsid w:val="00431510"/>
    <w:rsid w:val="0043674D"/>
    <w:rsid w:val="00441C02"/>
    <w:rsid w:val="00442803"/>
    <w:rsid w:val="00447CBD"/>
    <w:rsid w:val="00477285"/>
    <w:rsid w:val="0049788B"/>
    <w:rsid w:val="004A1D72"/>
    <w:rsid w:val="004B0A8D"/>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14DF"/>
    <w:rsid w:val="00562509"/>
    <w:rsid w:val="00572488"/>
    <w:rsid w:val="0057381A"/>
    <w:rsid w:val="00582DA8"/>
    <w:rsid w:val="00583630"/>
    <w:rsid w:val="005A59C0"/>
    <w:rsid w:val="005B1FE5"/>
    <w:rsid w:val="005C4CE4"/>
    <w:rsid w:val="005E51C0"/>
    <w:rsid w:val="005E6458"/>
    <w:rsid w:val="005E6D53"/>
    <w:rsid w:val="005F415D"/>
    <w:rsid w:val="005F7FCF"/>
    <w:rsid w:val="00600923"/>
    <w:rsid w:val="00604369"/>
    <w:rsid w:val="00613317"/>
    <w:rsid w:val="00613AFB"/>
    <w:rsid w:val="006143FA"/>
    <w:rsid w:val="006154DB"/>
    <w:rsid w:val="0063276A"/>
    <w:rsid w:val="006414F2"/>
    <w:rsid w:val="0065582D"/>
    <w:rsid w:val="006570DA"/>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70639"/>
    <w:rsid w:val="007725A9"/>
    <w:rsid w:val="00777AB5"/>
    <w:rsid w:val="00777F80"/>
    <w:rsid w:val="00780E45"/>
    <w:rsid w:val="007A4D1D"/>
    <w:rsid w:val="007B5257"/>
    <w:rsid w:val="007D4C46"/>
    <w:rsid w:val="007F7F49"/>
    <w:rsid w:val="00820EF7"/>
    <w:rsid w:val="00834C62"/>
    <w:rsid w:val="0085681E"/>
    <w:rsid w:val="0085768D"/>
    <w:rsid w:val="00861741"/>
    <w:rsid w:val="008630BF"/>
    <w:rsid w:val="00873819"/>
    <w:rsid w:val="00877342"/>
    <w:rsid w:val="00883E13"/>
    <w:rsid w:val="00892E3F"/>
    <w:rsid w:val="008B0267"/>
    <w:rsid w:val="008B1809"/>
    <w:rsid w:val="008B225B"/>
    <w:rsid w:val="008C369A"/>
    <w:rsid w:val="008F088E"/>
    <w:rsid w:val="008F0E8D"/>
    <w:rsid w:val="00900F39"/>
    <w:rsid w:val="00914EA8"/>
    <w:rsid w:val="0091676D"/>
    <w:rsid w:val="00917987"/>
    <w:rsid w:val="00922341"/>
    <w:rsid w:val="00932564"/>
    <w:rsid w:val="00941A7C"/>
    <w:rsid w:val="00944800"/>
    <w:rsid w:val="00953E39"/>
    <w:rsid w:val="00955DB4"/>
    <w:rsid w:val="00960595"/>
    <w:rsid w:val="00973472"/>
    <w:rsid w:val="00974906"/>
    <w:rsid w:val="00977C3F"/>
    <w:rsid w:val="00982546"/>
    <w:rsid w:val="00984DD0"/>
    <w:rsid w:val="009A22BC"/>
    <w:rsid w:val="009D043D"/>
    <w:rsid w:val="009D0B64"/>
    <w:rsid w:val="009D5289"/>
    <w:rsid w:val="009E2116"/>
    <w:rsid w:val="009E32CB"/>
    <w:rsid w:val="009E593C"/>
    <w:rsid w:val="009F212B"/>
    <w:rsid w:val="00A019EF"/>
    <w:rsid w:val="00A0488D"/>
    <w:rsid w:val="00A05321"/>
    <w:rsid w:val="00A23D53"/>
    <w:rsid w:val="00A314CB"/>
    <w:rsid w:val="00A41A60"/>
    <w:rsid w:val="00A46DCF"/>
    <w:rsid w:val="00A47834"/>
    <w:rsid w:val="00A563BE"/>
    <w:rsid w:val="00A678FB"/>
    <w:rsid w:val="00A816A4"/>
    <w:rsid w:val="00A844E8"/>
    <w:rsid w:val="00A91570"/>
    <w:rsid w:val="00A96198"/>
    <w:rsid w:val="00AB4C0D"/>
    <w:rsid w:val="00AC09BC"/>
    <w:rsid w:val="00AD3E28"/>
    <w:rsid w:val="00AD68B9"/>
    <w:rsid w:val="00AE56DE"/>
    <w:rsid w:val="00AF37D1"/>
    <w:rsid w:val="00AF3C20"/>
    <w:rsid w:val="00B011D3"/>
    <w:rsid w:val="00B052CF"/>
    <w:rsid w:val="00B06FAA"/>
    <w:rsid w:val="00B07C2D"/>
    <w:rsid w:val="00B2055A"/>
    <w:rsid w:val="00B31679"/>
    <w:rsid w:val="00B3167D"/>
    <w:rsid w:val="00B42257"/>
    <w:rsid w:val="00B52C2E"/>
    <w:rsid w:val="00B84DB9"/>
    <w:rsid w:val="00B91B0D"/>
    <w:rsid w:val="00BA54A5"/>
    <w:rsid w:val="00BA6F9D"/>
    <w:rsid w:val="00BB5DC0"/>
    <w:rsid w:val="00BB62D5"/>
    <w:rsid w:val="00BC2E9C"/>
    <w:rsid w:val="00BC4C49"/>
    <w:rsid w:val="00BD2016"/>
    <w:rsid w:val="00BD6DCF"/>
    <w:rsid w:val="00BE4178"/>
    <w:rsid w:val="00BF10CD"/>
    <w:rsid w:val="00C034DD"/>
    <w:rsid w:val="00C072EC"/>
    <w:rsid w:val="00C13690"/>
    <w:rsid w:val="00C161B9"/>
    <w:rsid w:val="00C243AD"/>
    <w:rsid w:val="00C45611"/>
    <w:rsid w:val="00C517BF"/>
    <w:rsid w:val="00C57676"/>
    <w:rsid w:val="00C71AD2"/>
    <w:rsid w:val="00C7584E"/>
    <w:rsid w:val="00C77BD5"/>
    <w:rsid w:val="00C8297B"/>
    <w:rsid w:val="00C871D0"/>
    <w:rsid w:val="00C94B0F"/>
    <w:rsid w:val="00C957B6"/>
    <w:rsid w:val="00CC1BA0"/>
    <w:rsid w:val="00CC3CBB"/>
    <w:rsid w:val="00CC5300"/>
    <w:rsid w:val="00CE4C14"/>
    <w:rsid w:val="00CF597C"/>
    <w:rsid w:val="00D0419F"/>
    <w:rsid w:val="00D24CA0"/>
    <w:rsid w:val="00D364B7"/>
    <w:rsid w:val="00D50990"/>
    <w:rsid w:val="00D54A48"/>
    <w:rsid w:val="00D80425"/>
    <w:rsid w:val="00D83624"/>
    <w:rsid w:val="00D8578E"/>
    <w:rsid w:val="00D91A4F"/>
    <w:rsid w:val="00D94CBC"/>
    <w:rsid w:val="00D9650A"/>
    <w:rsid w:val="00DA18C3"/>
    <w:rsid w:val="00DA38F0"/>
    <w:rsid w:val="00DA3B20"/>
    <w:rsid w:val="00DB1B17"/>
    <w:rsid w:val="00DB50DB"/>
    <w:rsid w:val="00DD30C5"/>
    <w:rsid w:val="00DD74F9"/>
    <w:rsid w:val="00DE6488"/>
    <w:rsid w:val="00DF5A11"/>
    <w:rsid w:val="00E01A5B"/>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F0D9C"/>
    <w:rsid w:val="00F12210"/>
    <w:rsid w:val="00F13610"/>
    <w:rsid w:val="00F13ADB"/>
    <w:rsid w:val="00F172F9"/>
    <w:rsid w:val="00F263B2"/>
    <w:rsid w:val="00F37D01"/>
    <w:rsid w:val="00F418E1"/>
    <w:rsid w:val="00F47B0F"/>
    <w:rsid w:val="00F64CAB"/>
    <w:rsid w:val="00F701BC"/>
    <w:rsid w:val="00F81D7C"/>
    <w:rsid w:val="00F8368E"/>
    <w:rsid w:val="00F90D12"/>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2BAD-5DCC-4E15-A4FF-AAF9FABB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2</Pages>
  <Words>561</Words>
  <Characters>2810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14</cp:revision>
  <dcterms:created xsi:type="dcterms:W3CDTF">2014-03-23T11:23:00Z</dcterms:created>
  <dcterms:modified xsi:type="dcterms:W3CDTF">2014-04-06T20:21:00Z</dcterms:modified>
</cp:coreProperties>
</file>