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00" w:rsidRPr="00875394" w:rsidRDefault="00094596" w:rsidP="00DD4368">
      <w:pPr>
        <w:spacing w:before="120" w:after="120" w:line="360" w:lineRule="auto"/>
        <w:jc w:val="center"/>
        <w:rPr>
          <w:rFonts w:ascii="David" w:hAnsi="David" w:cs="David"/>
          <w:b/>
          <w:bCs/>
          <w:sz w:val="28"/>
          <w:szCs w:val="28"/>
          <w:u w:val="single"/>
          <w:rtl/>
        </w:rPr>
      </w:pPr>
      <w:r>
        <w:rPr>
          <w:rFonts w:ascii="David" w:hAnsi="David" w:cs="David"/>
          <w:b/>
          <w:bCs/>
          <w:sz w:val="28"/>
          <w:szCs w:val="28"/>
          <w:u w:val="single"/>
          <w:rtl/>
        </w:rPr>
        <w:t>ביקורת מתקדמת ב' – שיעור</w:t>
      </w:r>
      <w:r>
        <w:rPr>
          <w:rFonts w:ascii="David" w:hAnsi="David" w:cs="David" w:hint="cs"/>
          <w:b/>
          <w:bCs/>
          <w:sz w:val="28"/>
          <w:szCs w:val="28"/>
          <w:u w:val="single"/>
          <w:rtl/>
        </w:rPr>
        <w:t xml:space="preserve"> 8 </w:t>
      </w:r>
    </w:p>
    <w:p w:rsidR="006E1A78" w:rsidRPr="00D86F3A" w:rsidRDefault="00D86F3A" w:rsidP="00DD4368">
      <w:pPr>
        <w:spacing w:before="120" w:after="120" w:line="360" w:lineRule="auto"/>
        <w:jc w:val="both"/>
        <w:rPr>
          <w:rFonts w:ascii="David" w:hAnsi="David" w:cs="David"/>
          <w:b/>
          <w:bCs/>
          <w:sz w:val="24"/>
          <w:szCs w:val="24"/>
          <w:rtl/>
        </w:rPr>
      </w:pPr>
      <w:r w:rsidRPr="00D86F3A">
        <w:rPr>
          <w:rFonts w:ascii="David" w:hAnsi="David" w:cs="David" w:hint="cs"/>
          <w:b/>
          <w:bCs/>
          <w:sz w:val="24"/>
          <w:szCs w:val="24"/>
          <w:rtl/>
        </w:rPr>
        <w:t>הנושאים להיום:</w:t>
      </w:r>
    </w:p>
    <w:p w:rsidR="001E3BB2" w:rsidRPr="00900606" w:rsidRDefault="00B551AD" w:rsidP="00F5361C">
      <w:pPr>
        <w:pStyle w:val="a7"/>
        <w:numPr>
          <w:ilvl w:val="0"/>
          <w:numId w:val="1"/>
        </w:numPr>
        <w:spacing w:before="120" w:after="120" w:line="360" w:lineRule="auto"/>
        <w:jc w:val="both"/>
        <w:rPr>
          <w:rFonts w:ascii="David" w:hAnsi="David" w:cs="David" w:hint="cs"/>
          <w:sz w:val="24"/>
          <w:szCs w:val="24"/>
        </w:rPr>
      </w:pPr>
      <w:r w:rsidRPr="00900606">
        <w:rPr>
          <w:rFonts w:ascii="David" w:hAnsi="David" w:cs="David" w:hint="cs"/>
          <w:sz w:val="24"/>
          <w:szCs w:val="24"/>
          <w:rtl/>
        </w:rPr>
        <w:t>הסתמכות על מומחים ת"ב 96</w:t>
      </w:r>
    </w:p>
    <w:p w:rsidR="00B551AD" w:rsidRPr="00900606" w:rsidRDefault="00B551AD" w:rsidP="00F5361C">
      <w:pPr>
        <w:pStyle w:val="a7"/>
        <w:numPr>
          <w:ilvl w:val="0"/>
          <w:numId w:val="1"/>
        </w:numPr>
        <w:spacing w:before="120" w:after="120" w:line="360" w:lineRule="auto"/>
        <w:jc w:val="both"/>
        <w:rPr>
          <w:rFonts w:ascii="David" w:hAnsi="David" w:cs="David" w:hint="cs"/>
          <w:sz w:val="24"/>
          <w:szCs w:val="24"/>
        </w:rPr>
      </w:pPr>
      <w:r w:rsidRPr="00900606">
        <w:rPr>
          <w:rFonts w:ascii="David" w:hAnsi="David" w:cs="David" w:hint="cs"/>
          <w:sz w:val="24"/>
          <w:szCs w:val="24"/>
          <w:rtl/>
        </w:rPr>
        <w:t xml:space="preserve">נהלי ביקורת </w:t>
      </w:r>
      <w:r w:rsidRPr="00900606">
        <w:rPr>
          <w:rFonts w:ascii="David" w:hAnsi="David" w:cs="David"/>
          <w:sz w:val="24"/>
          <w:szCs w:val="24"/>
          <w:rtl/>
        </w:rPr>
        <w:t>–</w:t>
      </w:r>
      <w:r w:rsidRPr="00900606">
        <w:rPr>
          <w:rFonts w:ascii="David" w:hAnsi="David" w:cs="David" w:hint="cs"/>
          <w:sz w:val="24"/>
          <w:szCs w:val="24"/>
          <w:rtl/>
        </w:rPr>
        <w:t xml:space="preserve"> מכתב פנייה לעו"ד </w:t>
      </w:r>
      <w:r w:rsidRPr="00900606">
        <w:rPr>
          <w:rFonts w:ascii="David" w:hAnsi="David" w:cs="David"/>
          <w:sz w:val="24"/>
          <w:szCs w:val="24"/>
          <w:rtl/>
        </w:rPr>
        <w:t>–</w:t>
      </w:r>
      <w:r w:rsidRPr="00900606">
        <w:rPr>
          <w:rFonts w:ascii="David" w:hAnsi="David" w:cs="David" w:hint="cs"/>
          <w:sz w:val="24"/>
          <w:szCs w:val="24"/>
          <w:rtl/>
        </w:rPr>
        <w:t xml:space="preserve"> ת"ב 83</w:t>
      </w:r>
    </w:p>
    <w:p w:rsidR="00B551AD" w:rsidRPr="00900606" w:rsidRDefault="00B551AD" w:rsidP="00F5361C">
      <w:pPr>
        <w:pStyle w:val="a7"/>
        <w:numPr>
          <w:ilvl w:val="0"/>
          <w:numId w:val="1"/>
        </w:numPr>
        <w:spacing w:before="120" w:after="120" w:line="360" w:lineRule="auto"/>
        <w:jc w:val="both"/>
        <w:rPr>
          <w:rFonts w:ascii="David" w:hAnsi="David" w:cs="David" w:hint="cs"/>
          <w:sz w:val="24"/>
          <w:szCs w:val="24"/>
        </w:rPr>
      </w:pPr>
      <w:r w:rsidRPr="00900606">
        <w:rPr>
          <w:rFonts w:ascii="David" w:hAnsi="David" w:cs="David" w:hint="cs"/>
          <w:sz w:val="24"/>
          <w:szCs w:val="24"/>
          <w:rtl/>
        </w:rPr>
        <w:t xml:space="preserve">אומדנים </w:t>
      </w:r>
      <w:r w:rsidRPr="00900606">
        <w:rPr>
          <w:rFonts w:ascii="David" w:hAnsi="David" w:cs="David"/>
          <w:sz w:val="24"/>
          <w:szCs w:val="24"/>
          <w:rtl/>
        </w:rPr>
        <w:t>–</w:t>
      </w:r>
      <w:r w:rsidRPr="00900606">
        <w:rPr>
          <w:rFonts w:ascii="David" w:hAnsi="David" w:cs="David" w:hint="cs"/>
          <w:sz w:val="24"/>
          <w:szCs w:val="24"/>
          <w:rtl/>
        </w:rPr>
        <w:t xml:space="preserve"> ת"ב 81</w:t>
      </w:r>
    </w:p>
    <w:p w:rsidR="00B551AD" w:rsidRPr="00900606" w:rsidRDefault="00B551AD" w:rsidP="00F5361C">
      <w:pPr>
        <w:pStyle w:val="a7"/>
        <w:numPr>
          <w:ilvl w:val="0"/>
          <w:numId w:val="1"/>
        </w:numPr>
        <w:spacing w:before="120" w:after="120" w:line="360" w:lineRule="auto"/>
        <w:jc w:val="both"/>
        <w:rPr>
          <w:rFonts w:ascii="David" w:hAnsi="David" w:cs="David"/>
          <w:sz w:val="24"/>
          <w:szCs w:val="24"/>
        </w:rPr>
      </w:pPr>
      <w:r w:rsidRPr="00900606">
        <w:rPr>
          <w:rFonts w:ascii="David" w:hAnsi="David" w:cs="David" w:hint="cs"/>
          <w:sz w:val="24"/>
          <w:szCs w:val="24"/>
          <w:rtl/>
        </w:rPr>
        <w:t xml:space="preserve">מדידה לפי שוו"ה - ת"ב 97 </w:t>
      </w:r>
    </w:p>
    <w:p w:rsidR="00B551AD" w:rsidRPr="00924FCE" w:rsidRDefault="00B551AD" w:rsidP="00DD4368">
      <w:pPr>
        <w:spacing w:before="120" w:after="120" w:line="360" w:lineRule="auto"/>
        <w:jc w:val="center"/>
        <w:rPr>
          <w:rFonts w:ascii="David" w:hAnsi="David" w:cs="David" w:hint="cs"/>
          <w:b/>
          <w:bCs/>
          <w:color w:val="00B050"/>
          <w:sz w:val="32"/>
          <w:szCs w:val="32"/>
          <w:u w:val="single"/>
          <w:rtl/>
        </w:rPr>
      </w:pPr>
      <w:r w:rsidRPr="00924FCE">
        <w:rPr>
          <w:rFonts w:ascii="David" w:hAnsi="David" w:cs="David" w:hint="cs"/>
          <w:b/>
          <w:bCs/>
          <w:color w:val="00B050"/>
          <w:sz w:val="32"/>
          <w:szCs w:val="32"/>
          <w:u w:val="single"/>
          <w:rtl/>
        </w:rPr>
        <w:t xml:space="preserve">הסתמכות על ממומחים </w:t>
      </w:r>
      <w:r w:rsidRPr="00924FCE">
        <w:rPr>
          <w:rFonts w:ascii="David" w:hAnsi="David" w:cs="David"/>
          <w:b/>
          <w:bCs/>
          <w:color w:val="00B050"/>
          <w:sz w:val="32"/>
          <w:szCs w:val="32"/>
          <w:u w:val="single"/>
          <w:rtl/>
        </w:rPr>
        <w:t>–</w:t>
      </w:r>
      <w:r w:rsidRPr="00924FCE">
        <w:rPr>
          <w:rFonts w:ascii="David" w:hAnsi="David" w:cs="David" w:hint="cs"/>
          <w:b/>
          <w:bCs/>
          <w:color w:val="00B050"/>
          <w:sz w:val="32"/>
          <w:szCs w:val="32"/>
          <w:u w:val="single"/>
          <w:rtl/>
        </w:rPr>
        <w:t xml:space="preserve"> ת"ב 96</w:t>
      </w:r>
    </w:p>
    <w:p w:rsidR="003B6A67" w:rsidRPr="00900606" w:rsidRDefault="00B551AD" w:rsidP="00DD4368">
      <w:pPr>
        <w:spacing w:before="120" w:after="120" w:line="360" w:lineRule="auto"/>
        <w:jc w:val="both"/>
        <w:rPr>
          <w:rFonts w:ascii="David" w:hAnsi="David" w:cs="David"/>
          <w:sz w:val="24"/>
          <w:szCs w:val="24"/>
          <w:rtl/>
        </w:rPr>
      </w:pPr>
      <w:r w:rsidRPr="00900606">
        <w:rPr>
          <w:rFonts w:ascii="David" w:hAnsi="David" w:cs="David" w:hint="cs"/>
          <w:sz w:val="24"/>
          <w:szCs w:val="24"/>
          <w:rtl/>
        </w:rPr>
        <w:t>כאשר אנו מדברים על הסתמכות על מומחים. הראשונים שמסתמכים על מומחים הם הדירקטוריון וההנהלה ורק אח"כ מציינים את רו"ח המבקר. מומחים מוזכרים בנושא חשבונאות בהקשר של בעלי מקצועות חופשיים כמו: שמאים, אקטוארים</w:t>
      </w:r>
      <w:r w:rsidR="003B6A67" w:rsidRPr="00900606">
        <w:rPr>
          <w:rFonts w:ascii="David" w:hAnsi="David" w:cs="David" w:hint="cs"/>
          <w:sz w:val="24"/>
          <w:szCs w:val="24"/>
          <w:rtl/>
        </w:rPr>
        <w:t>, מהנדסים (למשל: לצורך קביעת אחוז גמר הנדסי), וכדו'.</w:t>
      </w:r>
    </w:p>
    <w:p w:rsidR="00B551AD" w:rsidRPr="00900606" w:rsidRDefault="003B6A67" w:rsidP="00DD4368">
      <w:pPr>
        <w:spacing w:before="120" w:after="120" w:line="360" w:lineRule="auto"/>
        <w:jc w:val="both"/>
        <w:rPr>
          <w:rFonts w:ascii="David" w:hAnsi="David" w:cs="David"/>
          <w:sz w:val="24"/>
          <w:szCs w:val="24"/>
          <w:rtl/>
        </w:rPr>
      </w:pPr>
      <w:r w:rsidRPr="00900606">
        <w:rPr>
          <w:rFonts w:ascii="David" w:hAnsi="David" w:cs="David" w:hint="cs"/>
          <w:sz w:val="24"/>
          <w:szCs w:val="24"/>
          <w:rtl/>
        </w:rPr>
        <w:t>ת"ב 96 בא ואומר לרו"ח המבקר "אתה חייב ללמוד" ראשית על מידת האובייקטיביות של החברה, אין בעיה שהאובייקטיביות של אותו מומחה נפגעת כתוצאה מתלותו במבוקר אבל על רו"ח לנהוג בצורה זהירה יותר בגלל הסיכון הנ"ל.</w:t>
      </w:r>
    </w:p>
    <w:p w:rsidR="003B6A67" w:rsidRPr="00900606" w:rsidRDefault="003B6A67" w:rsidP="00DD4368">
      <w:pPr>
        <w:spacing w:before="120" w:after="120" w:line="360" w:lineRule="auto"/>
        <w:jc w:val="both"/>
        <w:rPr>
          <w:rFonts w:ascii="David" w:hAnsi="David" w:cs="David"/>
          <w:sz w:val="24"/>
          <w:szCs w:val="24"/>
          <w:rtl/>
        </w:rPr>
      </w:pPr>
      <w:r w:rsidRPr="00900606">
        <w:rPr>
          <w:rFonts w:ascii="David" w:hAnsi="David" w:cs="David" w:hint="cs"/>
          <w:sz w:val="24"/>
          <w:szCs w:val="24"/>
          <w:rtl/>
        </w:rPr>
        <w:t xml:space="preserve">חברת קרדן </w:t>
      </w:r>
      <w:r w:rsidRPr="00900606">
        <w:rPr>
          <w:rFonts w:ascii="David" w:hAnsi="David" w:cs="David" w:hint="cs"/>
          <w:sz w:val="24"/>
          <w:szCs w:val="24"/>
        </w:rPr>
        <w:t>NV</w:t>
      </w:r>
      <w:r w:rsidRPr="00900606">
        <w:rPr>
          <w:rFonts w:ascii="David" w:hAnsi="David" w:cs="David" w:hint="cs"/>
          <w:sz w:val="24"/>
          <w:szCs w:val="24"/>
          <w:rtl/>
        </w:rPr>
        <w:t xml:space="preserve"> שהעריכה את הקרקעות שלה ברומניה ב-300 מיליון שקל רו"ח הניח את דעתו הרשות לני"ע קבעה כי הקרקעות שוות 0 ₪ בכל ההתדיינויות הללו בין הרשות לני"ע לבין חברת קרדן </w:t>
      </w:r>
      <w:r w:rsidRPr="00900606">
        <w:rPr>
          <w:rFonts w:ascii="David" w:hAnsi="David" w:cs="David" w:hint="cs"/>
          <w:sz w:val="24"/>
          <w:szCs w:val="24"/>
        </w:rPr>
        <w:t>NV</w:t>
      </w:r>
      <w:r w:rsidRPr="00900606">
        <w:rPr>
          <w:rFonts w:ascii="David" w:hAnsi="David" w:cs="David" w:hint="cs"/>
          <w:sz w:val="24"/>
          <w:szCs w:val="24"/>
          <w:rtl/>
        </w:rPr>
        <w:t xml:space="preserve"> לא הוזכר רו"ח אף לא עם אחת כיוון שהוא נהג בצורה נאותה. </w:t>
      </w:r>
    </w:p>
    <w:p w:rsidR="003B6A67" w:rsidRPr="00900606" w:rsidRDefault="003B6A67" w:rsidP="00DD4368">
      <w:pPr>
        <w:spacing w:before="120" w:after="120" w:line="360" w:lineRule="auto"/>
        <w:jc w:val="both"/>
        <w:rPr>
          <w:rFonts w:ascii="David" w:hAnsi="David" w:cs="David"/>
          <w:b/>
          <w:bCs/>
          <w:sz w:val="24"/>
          <w:szCs w:val="24"/>
          <w:rtl/>
        </w:rPr>
      </w:pPr>
      <w:r w:rsidRPr="00900606">
        <w:rPr>
          <w:rFonts w:ascii="David" w:hAnsi="David" w:cs="David" w:hint="cs"/>
          <w:sz w:val="24"/>
          <w:szCs w:val="24"/>
          <w:rtl/>
        </w:rPr>
        <w:t xml:space="preserve">ת"ב 96 לא חל על נושאים </w:t>
      </w:r>
      <w:r w:rsidRPr="00900606">
        <w:rPr>
          <w:rFonts w:ascii="David" w:hAnsi="David" w:cs="David" w:hint="cs"/>
          <w:b/>
          <w:bCs/>
          <w:sz w:val="24"/>
          <w:szCs w:val="24"/>
          <w:rtl/>
        </w:rPr>
        <w:t xml:space="preserve">בחשבונאות </w:t>
      </w:r>
      <w:r w:rsidRPr="00900606">
        <w:rPr>
          <w:rFonts w:ascii="David" w:hAnsi="David" w:cs="David" w:hint="cs"/>
          <w:sz w:val="24"/>
          <w:szCs w:val="24"/>
          <w:rtl/>
        </w:rPr>
        <w:t xml:space="preserve">(למעט במקרים קיצוניים) ולא </w:t>
      </w:r>
      <w:r w:rsidRPr="00900606">
        <w:rPr>
          <w:rFonts w:ascii="David" w:hAnsi="David" w:cs="David" w:hint="cs"/>
          <w:b/>
          <w:bCs/>
          <w:sz w:val="24"/>
          <w:szCs w:val="24"/>
          <w:rtl/>
        </w:rPr>
        <w:t>ביקורת</w:t>
      </w:r>
    </w:p>
    <w:p w:rsidR="003B6A67" w:rsidRPr="00900606" w:rsidRDefault="003B6A67" w:rsidP="00DD4368">
      <w:pPr>
        <w:spacing w:before="120" w:after="120" w:line="360" w:lineRule="auto"/>
        <w:jc w:val="both"/>
        <w:rPr>
          <w:rFonts w:ascii="David" w:hAnsi="David" w:cs="David" w:hint="cs"/>
          <w:sz w:val="24"/>
          <w:szCs w:val="24"/>
          <w:rtl/>
        </w:rPr>
      </w:pPr>
      <w:r w:rsidRPr="00900606">
        <w:rPr>
          <w:rFonts w:ascii="David" w:hAnsi="David" w:cs="David" w:hint="cs"/>
          <w:sz w:val="24"/>
          <w:szCs w:val="24"/>
          <w:rtl/>
        </w:rPr>
        <w:t xml:space="preserve">ת"ב 9 </w:t>
      </w:r>
      <w:r w:rsidRPr="00900606">
        <w:rPr>
          <w:rFonts w:ascii="David" w:hAnsi="David" w:cs="David"/>
          <w:sz w:val="24"/>
          <w:szCs w:val="24"/>
          <w:rtl/>
        </w:rPr>
        <w:t>–</w:t>
      </w:r>
      <w:r w:rsidRPr="00900606">
        <w:rPr>
          <w:rFonts w:ascii="David" w:hAnsi="David" w:cs="David" w:hint="cs"/>
          <w:sz w:val="24"/>
          <w:szCs w:val="24"/>
          <w:rtl/>
        </w:rPr>
        <w:t xml:space="preserve"> כשמדברים על רו"ח אחרים </w:t>
      </w:r>
      <w:r w:rsidRPr="00900606">
        <w:rPr>
          <w:rFonts w:ascii="David" w:hAnsi="David" w:cs="David"/>
          <w:sz w:val="24"/>
          <w:szCs w:val="24"/>
          <w:rtl/>
        </w:rPr>
        <w:t>–</w:t>
      </w:r>
      <w:r w:rsidRPr="00900606">
        <w:rPr>
          <w:rFonts w:ascii="David" w:hAnsi="David" w:cs="David" w:hint="cs"/>
          <w:sz w:val="24"/>
          <w:szCs w:val="24"/>
          <w:rtl/>
        </w:rPr>
        <w:t xml:space="preserve"> אלו לא נחשבים מומחים לעניין ת"ב 96 </w:t>
      </w:r>
    </w:p>
    <w:p w:rsidR="003B6A67" w:rsidRPr="00900606" w:rsidRDefault="003B6A67" w:rsidP="00DD4368">
      <w:pPr>
        <w:spacing w:before="120" w:after="120" w:line="360" w:lineRule="auto"/>
        <w:jc w:val="both"/>
        <w:rPr>
          <w:rFonts w:ascii="David" w:hAnsi="David" w:cs="David" w:hint="cs"/>
          <w:b/>
          <w:bCs/>
          <w:sz w:val="24"/>
          <w:szCs w:val="24"/>
          <w:rtl/>
        </w:rPr>
      </w:pPr>
      <w:r w:rsidRPr="00900606">
        <w:rPr>
          <w:rFonts w:ascii="David" w:hAnsi="David" w:cs="David" w:hint="cs"/>
          <w:b/>
          <w:bCs/>
          <w:sz w:val="24"/>
          <w:szCs w:val="24"/>
          <w:rtl/>
        </w:rPr>
        <w:t>מאמר בנושא זה מ-04/09 של פרופ' הרצל פטל שמסכם את הנושא בצורה מצויינת.</w:t>
      </w:r>
    </w:p>
    <w:p w:rsidR="003B6A67" w:rsidRPr="00900606" w:rsidRDefault="003B6A67" w:rsidP="00DD4368">
      <w:pPr>
        <w:spacing w:before="120" w:after="120" w:line="360" w:lineRule="auto"/>
        <w:jc w:val="both"/>
        <w:rPr>
          <w:rFonts w:ascii="David" w:hAnsi="David" w:cs="David" w:hint="cs"/>
          <w:b/>
          <w:bCs/>
          <w:sz w:val="24"/>
          <w:szCs w:val="24"/>
          <w:u w:val="single"/>
          <w:rtl/>
        </w:rPr>
      </w:pPr>
      <w:r w:rsidRPr="00900606">
        <w:rPr>
          <w:rFonts w:ascii="David" w:hAnsi="David" w:cs="David" w:hint="cs"/>
          <w:b/>
          <w:bCs/>
          <w:sz w:val="24"/>
          <w:szCs w:val="24"/>
          <w:u w:val="single"/>
          <w:rtl/>
        </w:rPr>
        <w:t>היבט הביקורת</w:t>
      </w:r>
    </w:p>
    <w:p w:rsidR="003B6A67" w:rsidRPr="00900606" w:rsidRDefault="003B6A67" w:rsidP="00DD4368">
      <w:pPr>
        <w:spacing w:before="120" w:after="120" w:line="360" w:lineRule="auto"/>
        <w:jc w:val="both"/>
        <w:rPr>
          <w:rFonts w:ascii="David" w:hAnsi="David" w:cs="David" w:hint="cs"/>
          <w:sz w:val="24"/>
          <w:szCs w:val="24"/>
          <w:rtl/>
        </w:rPr>
      </w:pPr>
      <w:r w:rsidRPr="00900606">
        <w:rPr>
          <w:rFonts w:ascii="David" w:hAnsi="David" w:cs="David" w:hint="cs"/>
          <w:sz w:val="24"/>
          <w:szCs w:val="24"/>
          <w:rtl/>
        </w:rPr>
        <w:t>במהלך עבודת הביקורת יש מקרים בהם דוכ"ס כוללים מצגים שאופן כימותם, הערכתם או מדידתם, אינם ברורים מספיק למבקר, כגון: בחינת הטיפול בתביעות משפטיות, הערכת שווי נכסים, הערכות אקטואריות, עבודות מתמשכות וכו'...</w:t>
      </w:r>
    </w:p>
    <w:p w:rsidR="003B6A67" w:rsidRPr="00900606" w:rsidRDefault="003B6A67" w:rsidP="00DD4368">
      <w:pPr>
        <w:spacing w:before="120" w:after="120" w:line="360" w:lineRule="auto"/>
        <w:jc w:val="both"/>
        <w:rPr>
          <w:rFonts w:ascii="David" w:hAnsi="David" w:cs="David"/>
          <w:sz w:val="24"/>
          <w:szCs w:val="24"/>
          <w:rtl/>
        </w:rPr>
      </w:pPr>
      <w:r w:rsidRPr="00900606">
        <w:rPr>
          <w:rFonts w:ascii="David" w:hAnsi="David" w:cs="David" w:hint="cs"/>
          <w:sz w:val="24"/>
          <w:szCs w:val="24"/>
          <w:rtl/>
        </w:rPr>
        <w:t xml:space="preserve">רו"ח הוא מומחה לחשבונאות וביקורת אך לא ל: הנדסה, שמאות, משפטים, אקטואריה וכו'. לכן לצורך אימות אותם מצגים, הדורשים מיומנות ייחודית, משתמש המבקר בעבודת מומחה, כראיית ביקורת. </w:t>
      </w:r>
    </w:p>
    <w:p w:rsidR="00566C1E" w:rsidRPr="00900606" w:rsidRDefault="00566C1E" w:rsidP="00DD4368">
      <w:pPr>
        <w:spacing w:before="120" w:after="120" w:line="360" w:lineRule="auto"/>
        <w:jc w:val="both"/>
        <w:rPr>
          <w:rFonts w:ascii="David" w:hAnsi="David" w:cs="David"/>
          <w:sz w:val="24"/>
          <w:szCs w:val="24"/>
          <w:rtl/>
        </w:rPr>
      </w:pPr>
      <w:r w:rsidRPr="00900606">
        <w:rPr>
          <w:rFonts w:ascii="David" w:hAnsi="David" w:cs="David" w:hint="cs"/>
          <w:b/>
          <w:bCs/>
          <w:sz w:val="24"/>
          <w:szCs w:val="24"/>
          <w:rtl/>
        </w:rPr>
        <w:t xml:space="preserve">ת"ב 96 </w:t>
      </w:r>
      <w:r w:rsidRPr="00900606">
        <w:rPr>
          <w:rFonts w:ascii="David" w:hAnsi="David" w:cs="David"/>
          <w:sz w:val="24"/>
          <w:szCs w:val="24"/>
          <w:rtl/>
        </w:rPr>
        <w:t>–</w:t>
      </w:r>
      <w:r w:rsidRPr="00900606">
        <w:rPr>
          <w:rFonts w:ascii="David" w:hAnsi="David" w:cs="David" w:hint="cs"/>
          <w:sz w:val="24"/>
          <w:szCs w:val="24"/>
          <w:rtl/>
        </w:rPr>
        <w:t xml:space="preserve"> לא דן ברו"ח מבקרים של חברות בנות שאוחדו עם חברת האם כמומחים שכן נושא זה מטופל בת"ב 9 ועיקרו </w:t>
      </w:r>
      <w:r w:rsidRPr="00900606">
        <w:rPr>
          <w:rFonts w:ascii="David" w:hAnsi="David" w:cs="David" w:hint="cs"/>
          <w:b/>
          <w:bCs/>
          <w:sz w:val="24"/>
          <w:szCs w:val="24"/>
          <w:rtl/>
        </w:rPr>
        <w:t xml:space="preserve">חשבונאות </w:t>
      </w:r>
      <w:r w:rsidRPr="00900606">
        <w:rPr>
          <w:rFonts w:ascii="David" w:hAnsi="David" w:cs="David" w:hint="cs"/>
          <w:sz w:val="24"/>
          <w:szCs w:val="24"/>
          <w:rtl/>
        </w:rPr>
        <w:t>(דוכ"ס מאוחדים)</w:t>
      </w:r>
    </w:p>
    <w:p w:rsidR="00566C1E" w:rsidRPr="00900606" w:rsidRDefault="00566C1E" w:rsidP="00DD4368">
      <w:pPr>
        <w:spacing w:before="120" w:after="120" w:line="360" w:lineRule="auto"/>
        <w:jc w:val="both"/>
        <w:rPr>
          <w:rFonts w:ascii="David" w:hAnsi="David" w:cs="David"/>
          <w:sz w:val="24"/>
          <w:szCs w:val="24"/>
          <w:u w:val="single"/>
          <w:rtl/>
        </w:rPr>
      </w:pPr>
      <w:r w:rsidRPr="00900606">
        <w:rPr>
          <w:rFonts w:ascii="David" w:hAnsi="David" w:cs="David" w:hint="cs"/>
          <w:b/>
          <w:bCs/>
          <w:sz w:val="24"/>
          <w:szCs w:val="24"/>
          <w:rtl/>
        </w:rPr>
        <w:t>"מומחה"-</w:t>
      </w:r>
      <w:r w:rsidRPr="00900606">
        <w:rPr>
          <w:rFonts w:ascii="David" w:hAnsi="David" w:cs="David" w:hint="cs"/>
          <w:sz w:val="24"/>
          <w:szCs w:val="24"/>
          <w:rtl/>
        </w:rPr>
        <w:t xml:space="preserve"> אדם או פירמה (יכולה להיות חברת ייעוץ) שהם בעלי מימנות, ידע וניסיון מיוחדים, בתחום ספציפי שאינו </w:t>
      </w:r>
      <w:r w:rsidRPr="00900606">
        <w:rPr>
          <w:rFonts w:ascii="David" w:hAnsi="David" w:cs="David" w:hint="cs"/>
          <w:sz w:val="24"/>
          <w:szCs w:val="24"/>
          <w:u w:val="single"/>
          <w:rtl/>
        </w:rPr>
        <w:t>חשבונאות</w:t>
      </w:r>
      <w:r w:rsidRPr="00900606">
        <w:rPr>
          <w:rFonts w:ascii="David" w:hAnsi="David" w:cs="David" w:hint="cs"/>
          <w:sz w:val="24"/>
          <w:szCs w:val="24"/>
          <w:rtl/>
        </w:rPr>
        <w:t xml:space="preserve"> ואינו </w:t>
      </w:r>
      <w:r w:rsidRPr="00900606">
        <w:rPr>
          <w:rFonts w:ascii="David" w:hAnsi="David" w:cs="David" w:hint="cs"/>
          <w:sz w:val="24"/>
          <w:szCs w:val="24"/>
          <w:u w:val="single"/>
          <w:rtl/>
        </w:rPr>
        <w:t>ביקורת.</w:t>
      </w:r>
    </w:p>
    <w:p w:rsidR="00566C1E" w:rsidRPr="00900606" w:rsidRDefault="00566C1E" w:rsidP="00DD4368">
      <w:pPr>
        <w:spacing w:before="120" w:after="120" w:line="360" w:lineRule="auto"/>
        <w:jc w:val="both"/>
        <w:rPr>
          <w:rFonts w:ascii="David" w:hAnsi="David" w:cs="David" w:hint="cs"/>
          <w:sz w:val="24"/>
          <w:szCs w:val="24"/>
          <w:rtl/>
        </w:rPr>
      </w:pPr>
      <w:r w:rsidRPr="00900606">
        <w:rPr>
          <w:rFonts w:ascii="David" w:hAnsi="David" w:cs="David" w:hint="cs"/>
          <w:sz w:val="24"/>
          <w:szCs w:val="24"/>
          <w:rtl/>
        </w:rPr>
        <w:t xml:space="preserve">בשיקוליו בדבר הצורך להשתמש בעבודת מומחה, על המבקר להתחשב בגורמים כגון: </w:t>
      </w:r>
    </w:p>
    <w:p w:rsidR="00566C1E" w:rsidRPr="00900606" w:rsidRDefault="00566C1E" w:rsidP="00F5361C">
      <w:pPr>
        <w:pStyle w:val="a7"/>
        <w:numPr>
          <w:ilvl w:val="0"/>
          <w:numId w:val="2"/>
        </w:numPr>
        <w:spacing w:before="120" w:after="120" w:line="360" w:lineRule="auto"/>
        <w:jc w:val="both"/>
        <w:rPr>
          <w:rFonts w:ascii="David" w:hAnsi="David" w:cs="David"/>
          <w:b/>
          <w:bCs/>
          <w:sz w:val="24"/>
          <w:szCs w:val="24"/>
        </w:rPr>
      </w:pPr>
      <w:r w:rsidRPr="00900606">
        <w:rPr>
          <w:rFonts w:ascii="David" w:hAnsi="David" w:cs="David" w:hint="cs"/>
          <w:b/>
          <w:bCs/>
          <w:sz w:val="24"/>
          <w:szCs w:val="24"/>
          <w:rtl/>
        </w:rPr>
        <w:lastRenderedPageBreak/>
        <w:t>הידע והניסיון הקודמים של צוות הביקורת -</w:t>
      </w:r>
      <w:r w:rsidRPr="00900606">
        <w:rPr>
          <w:rFonts w:ascii="David" w:hAnsi="David" w:cs="David" w:hint="cs"/>
          <w:sz w:val="24"/>
          <w:szCs w:val="24"/>
          <w:rtl/>
        </w:rPr>
        <w:t>לגבי הנושא שנבחן (ככל שהידע והניסיון קטן יותר כך יידרש שימוש רב יותר במומחים)</w:t>
      </w:r>
    </w:p>
    <w:p w:rsidR="00566C1E" w:rsidRPr="00900606" w:rsidRDefault="00566C1E" w:rsidP="00F5361C">
      <w:pPr>
        <w:pStyle w:val="a7"/>
        <w:numPr>
          <w:ilvl w:val="0"/>
          <w:numId w:val="2"/>
        </w:numPr>
        <w:spacing w:before="120" w:after="120" w:line="360" w:lineRule="auto"/>
        <w:jc w:val="both"/>
        <w:rPr>
          <w:rFonts w:ascii="David" w:hAnsi="David" w:cs="David" w:hint="cs"/>
          <w:b/>
          <w:bCs/>
          <w:sz w:val="24"/>
          <w:szCs w:val="24"/>
        </w:rPr>
      </w:pPr>
      <w:r w:rsidRPr="00900606">
        <w:rPr>
          <w:rFonts w:ascii="David" w:hAnsi="David" w:cs="David" w:hint="cs"/>
          <w:b/>
          <w:bCs/>
          <w:sz w:val="24"/>
          <w:szCs w:val="24"/>
          <w:rtl/>
        </w:rPr>
        <w:t xml:space="preserve">הסיכון להצגה מוטעית מהותית </w:t>
      </w:r>
      <w:r w:rsidRPr="00900606">
        <w:rPr>
          <w:rFonts w:ascii="David" w:hAnsi="David" w:cs="David"/>
          <w:b/>
          <w:bCs/>
          <w:sz w:val="24"/>
          <w:szCs w:val="24"/>
          <w:rtl/>
        </w:rPr>
        <w:t>–</w:t>
      </w:r>
      <w:r w:rsidRPr="00900606">
        <w:rPr>
          <w:rFonts w:ascii="David" w:hAnsi="David" w:cs="David" w:hint="cs"/>
          <w:b/>
          <w:bCs/>
          <w:sz w:val="24"/>
          <w:szCs w:val="24"/>
          <w:rtl/>
        </w:rPr>
        <w:t xml:space="preserve"> </w:t>
      </w:r>
      <w:r w:rsidRPr="00900606">
        <w:rPr>
          <w:rFonts w:ascii="David" w:hAnsi="David" w:cs="David" w:hint="cs"/>
          <w:sz w:val="24"/>
          <w:szCs w:val="24"/>
          <w:rtl/>
        </w:rPr>
        <w:t>בהתחשב באופי במורכבות ובמהותיות הנושא שנבחן.</w:t>
      </w:r>
      <w:r w:rsidR="00913B2E" w:rsidRPr="00900606">
        <w:rPr>
          <w:rFonts w:ascii="David" w:hAnsi="David" w:cs="David" w:hint="cs"/>
          <w:sz w:val="24"/>
          <w:szCs w:val="24"/>
          <w:rtl/>
        </w:rPr>
        <w:t xml:space="preserve"> (ככל שהסיכון המובנה גבוה יותר כך יידרש שימוש גבוה יותר במומחים). למשל: יש לי לקוח שיש לו חברה קבלנית ויש לו מחזור הכנסות של 10 מיליון ₪. אחד הלקוחות הגיש תביעה כנגד החברה בסכום של 200,000 ₪. החברה מוכנה לתת 50,000 ₪ והלקוח מוכן להתפשר על 100,000 ₪ כיוון שלחברה אין תביעות נוספות לא היו ולא יהיו נראה כי אין צורך להעמיק את הביקורת בנושא אותה תביעה משפטית כיוון שהיא יחידה והסכומים ידועים.</w:t>
      </w:r>
    </w:p>
    <w:p w:rsidR="00566C1E" w:rsidRPr="00900606" w:rsidRDefault="00913B2E" w:rsidP="00F5361C">
      <w:pPr>
        <w:pStyle w:val="a7"/>
        <w:numPr>
          <w:ilvl w:val="0"/>
          <w:numId w:val="2"/>
        </w:numPr>
        <w:spacing w:before="120" w:after="120" w:line="360" w:lineRule="auto"/>
        <w:jc w:val="both"/>
        <w:rPr>
          <w:rFonts w:ascii="David" w:hAnsi="David" w:cs="David"/>
          <w:b/>
          <w:bCs/>
          <w:sz w:val="24"/>
          <w:szCs w:val="24"/>
        </w:rPr>
      </w:pPr>
      <w:r w:rsidRPr="00900606">
        <w:rPr>
          <w:rFonts w:ascii="David" w:hAnsi="David" w:cs="David" w:hint="cs"/>
          <w:b/>
          <w:bCs/>
          <w:sz w:val="24"/>
          <w:szCs w:val="24"/>
          <w:rtl/>
        </w:rPr>
        <w:t xml:space="preserve">כמות ראיות הביקורת האחרות שהשגתן צפויה. </w:t>
      </w:r>
      <w:r w:rsidRPr="00900606">
        <w:rPr>
          <w:rFonts w:ascii="David" w:hAnsi="David" w:cs="David" w:hint="cs"/>
          <w:sz w:val="24"/>
          <w:szCs w:val="24"/>
          <w:rtl/>
        </w:rPr>
        <w:t xml:space="preserve">(ככל שראיות ביקורת אחרות הן מהימנות יותר כך נדרש שימוש מופחת במומחים) למשל: בהמשך לדוגמא הקודמת למרות הערכות של עו"ד אם יש ראיית ביקורת שהתביעה התקבלה במלואה הטיפול החשבונאי מאד ברור כי יש לנו ראיית ביקורת מהימנה יותר או למשל: כאשר אנו מדברים על מדידה לפי שוו"ה של קרקע, אבל יש כמה וכמה חלקות שעוד לפני תאריך המאזן כבר נמכרו </w:t>
      </w:r>
      <w:r w:rsidRPr="00900606">
        <w:rPr>
          <w:rFonts w:ascii="David" w:hAnsi="David" w:cs="David"/>
          <w:sz w:val="24"/>
          <w:szCs w:val="24"/>
          <w:rtl/>
        </w:rPr>
        <w:t>–</w:t>
      </w:r>
      <w:r w:rsidRPr="00900606">
        <w:rPr>
          <w:rFonts w:ascii="David" w:hAnsi="David" w:cs="David" w:hint="cs"/>
          <w:sz w:val="24"/>
          <w:szCs w:val="24"/>
          <w:rtl/>
        </w:rPr>
        <w:t xml:space="preserve"> זה למשל בסיס מצויין להערכת השווי לתאריך המאזן גם ללא צורך בהתייעצות עם מומחים . ייתכן שרו"ח התייעץ בש"ק עם מומחים והיקף השימוש במומחים בתקופות קודמות אינו נצרך בתקופה הנוכחית לכן הכל תלוי בשיקול דעתו של רו"ח המבקר הוא מחליט מה הצורך וההיקף של ההסתייעות בעבודת מומחה. </w:t>
      </w:r>
      <w:r w:rsidR="00E376DD" w:rsidRPr="00900606">
        <w:rPr>
          <w:rFonts w:ascii="David" w:hAnsi="David" w:cs="David" w:hint="cs"/>
          <w:sz w:val="24"/>
          <w:szCs w:val="24"/>
          <w:rtl/>
        </w:rPr>
        <w:t xml:space="preserve">רו"ח שוכר יועץ מטעמו וזוהי הרחבה בהיקף הביקורת. </w:t>
      </w:r>
    </w:p>
    <w:p w:rsidR="00913B2E" w:rsidRPr="00900606" w:rsidRDefault="00E376DD" w:rsidP="00DD4368">
      <w:pPr>
        <w:spacing w:before="120" w:after="120" w:line="360" w:lineRule="auto"/>
        <w:jc w:val="both"/>
        <w:rPr>
          <w:rFonts w:ascii="David" w:hAnsi="David" w:cs="David"/>
          <w:b/>
          <w:bCs/>
          <w:sz w:val="24"/>
          <w:szCs w:val="24"/>
          <w:u w:val="single"/>
          <w:rtl/>
        </w:rPr>
      </w:pPr>
      <w:r w:rsidRPr="00900606">
        <w:rPr>
          <w:rFonts w:ascii="David" w:hAnsi="David" w:cs="David" w:hint="cs"/>
          <w:b/>
          <w:bCs/>
          <w:sz w:val="24"/>
          <w:szCs w:val="24"/>
          <w:u w:val="single"/>
          <w:rtl/>
        </w:rPr>
        <w:t>כישורים ואובייקטיביות של המומחה</w:t>
      </w:r>
    </w:p>
    <w:p w:rsidR="00E376DD" w:rsidRPr="00900606" w:rsidRDefault="00E376DD" w:rsidP="00DD4368">
      <w:pPr>
        <w:spacing w:before="120" w:after="120" w:line="360" w:lineRule="auto"/>
        <w:jc w:val="both"/>
        <w:rPr>
          <w:rFonts w:ascii="David" w:hAnsi="David" w:cs="David"/>
          <w:sz w:val="24"/>
          <w:szCs w:val="24"/>
          <w:rtl/>
        </w:rPr>
      </w:pPr>
      <w:r w:rsidRPr="00900606">
        <w:rPr>
          <w:rFonts w:ascii="David" w:hAnsi="David" w:cs="David" w:hint="cs"/>
          <w:sz w:val="24"/>
          <w:szCs w:val="24"/>
          <w:rtl/>
        </w:rPr>
        <w:t xml:space="preserve">יש לזכור שבכל מקרה האחריות על חוו"ד על הדוכ"ס מוטלת באופן בלעדי על רו"ח המבקר. והיא איננה קטנה כאשר הוא מסתמך על עבודת מומחה. </w:t>
      </w:r>
    </w:p>
    <w:p w:rsidR="00E376DD" w:rsidRPr="00900606" w:rsidRDefault="00E376DD" w:rsidP="00DD4368">
      <w:pPr>
        <w:spacing w:before="120" w:after="120" w:line="360" w:lineRule="auto"/>
        <w:jc w:val="both"/>
        <w:rPr>
          <w:rFonts w:ascii="David" w:hAnsi="David" w:cs="David" w:hint="cs"/>
          <w:sz w:val="24"/>
          <w:szCs w:val="24"/>
          <w:rtl/>
        </w:rPr>
      </w:pPr>
      <w:r w:rsidRPr="00900606">
        <w:rPr>
          <w:rFonts w:ascii="David" w:hAnsi="David" w:cs="David" w:hint="cs"/>
          <w:sz w:val="24"/>
          <w:szCs w:val="24"/>
          <w:rtl/>
        </w:rPr>
        <w:t xml:space="preserve">שימוש בעבודת מומחה הוא נוהל ביקורת כמו כל נוהל ביקורת אחר כך שהמומחה צריך להיות: </w:t>
      </w:r>
    </w:p>
    <w:p w:rsidR="00E376DD" w:rsidRPr="00900606" w:rsidRDefault="00E376DD" w:rsidP="00DD4368">
      <w:pPr>
        <w:spacing w:before="120" w:after="120" w:line="360" w:lineRule="auto"/>
        <w:jc w:val="both"/>
        <w:rPr>
          <w:rFonts w:ascii="David" w:hAnsi="David" w:cs="David"/>
          <w:sz w:val="24"/>
          <w:szCs w:val="24"/>
          <w:rtl/>
        </w:rPr>
      </w:pPr>
      <w:r w:rsidRPr="00900606">
        <w:rPr>
          <w:rFonts w:ascii="David" w:hAnsi="David" w:cs="David" w:hint="cs"/>
          <w:b/>
          <w:bCs/>
          <w:sz w:val="24"/>
          <w:szCs w:val="24"/>
          <w:rtl/>
        </w:rPr>
        <w:t xml:space="preserve">מיומנות- </w:t>
      </w:r>
      <w:r w:rsidRPr="00900606">
        <w:rPr>
          <w:rFonts w:ascii="David" w:hAnsi="David" w:cs="David" w:hint="cs"/>
          <w:sz w:val="24"/>
          <w:szCs w:val="24"/>
          <w:rtl/>
        </w:rPr>
        <w:t>ראוי מספיק מבחינה מקצועי כדי להצדיק את השימוש בעבודתו כראיית ביקורת ולכן על המבקר להשתכנע כי המומחה אכן מסוגל לתת חוו"ד מקצועית ראויה, ואובייקטיבית בנסיבות העניין. לשם כך על המבקר להביא בחשבון בין היתר את הנושאים הבאים:</w:t>
      </w:r>
    </w:p>
    <w:p w:rsidR="00900606" w:rsidRPr="00900606" w:rsidRDefault="00900606" w:rsidP="00F5361C">
      <w:pPr>
        <w:pStyle w:val="a7"/>
        <w:numPr>
          <w:ilvl w:val="0"/>
          <w:numId w:val="3"/>
        </w:numPr>
        <w:spacing w:before="120" w:after="120" w:line="360" w:lineRule="auto"/>
        <w:jc w:val="both"/>
        <w:rPr>
          <w:rFonts w:ascii="David" w:hAnsi="David" w:cs="David"/>
          <w:sz w:val="24"/>
          <w:szCs w:val="24"/>
          <w:u w:val="single"/>
        </w:rPr>
      </w:pPr>
      <w:r w:rsidRPr="00900606">
        <w:rPr>
          <w:rFonts w:ascii="David" w:hAnsi="David" w:cs="David" w:hint="cs"/>
          <w:sz w:val="24"/>
          <w:szCs w:val="24"/>
          <w:u w:val="single"/>
          <w:rtl/>
        </w:rPr>
        <w:t xml:space="preserve">כישורים מקצועיים- </w:t>
      </w:r>
      <w:r>
        <w:rPr>
          <w:rFonts w:ascii="David" w:hAnsi="David" w:cs="David" w:hint="cs"/>
          <w:sz w:val="24"/>
          <w:szCs w:val="24"/>
          <w:rtl/>
        </w:rPr>
        <w:t>יש לבחון את ההסמכה,</w:t>
      </w:r>
      <w:r w:rsidRPr="00900606">
        <w:rPr>
          <w:rFonts w:ascii="David" w:hAnsi="David" w:cs="David" w:hint="cs"/>
          <w:sz w:val="24"/>
          <w:szCs w:val="24"/>
          <w:rtl/>
        </w:rPr>
        <w:t xml:space="preserve"> </w:t>
      </w:r>
      <w:r>
        <w:rPr>
          <w:rFonts w:ascii="David" w:hAnsi="David" w:cs="David" w:hint="cs"/>
          <w:sz w:val="24"/>
          <w:szCs w:val="24"/>
          <w:rtl/>
        </w:rPr>
        <w:t>הרישוי  (התשלום כעבור האגרה להחזקת הרישיון), החברות בגוף המתאים (כמו למשל : לשכת רו"ח) וכן את הניסיון והמוניטין של המומחה והניסיון בתחום בו הוא מתעתד לתת שירות.</w:t>
      </w:r>
    </w:p>
    <w:p w:rsidR="00E376DD" w:rsidRPr="00900606" w:rsidRDefault="00900606" w:rsidP="00F5361C">
      <w:pPr>
        <w:pStyle w:val="a7"/>
        <w:numPr>
          <w:ilvl w:val="0"/>
          <w:numId w:val="3"/>
        </w:numPr>
        <w:spacing w:before="120" w:after="120" w:line="360" w:lineRule="auto"/>
        <w:jc w:val="both"/>
        <w:rPr>
          <w:rFonts w:ascii="David" w:hAnsi="David" w:cs="David"/>
          <w:sz w:val="24"/>
          <w:szCs w:val="24"/>
          <w:u w:val="single"/>
        </w:rPr>
      </w:pPr>
      <w:r>
        <w:rPr>
          <w:rFonts w:ascii="David" w:hAnsi="David" w:cs="David" w:hint="cs"/>
          <w:sz w:val="24"/>
          <w:szCs w:val="24"/>
          <w:u w:val="single"/>
          <w:rtl/>
        </w:rPr>
        <w:t>אובייקטיביות המומחה-</w:t>
      </w:r>
      <w:r>
        <w:rPr>
          <w:rFonts w:ascii="David" w:hAnsi="David" w:cs="David" w:hint="cs"/>
          <w:sz w:val="24"/>
          <w:szCs w:val="24"/>
          <w:rtl/>
        </w:rPr>
        <w:t xml:space="preserve"> הערכת אובייקטיביות כוללת בירור בנוגע לאינטרסים וקשרים אישיים שיש לו העלולים ליצור איום על האובייקטיביות של המומחה.</w:t>
      </w:r>
    </w:p>
    <w:p w:rsidR="00900606" w:rsidRPr="00C40B7D" w:rsidRDefault="00C40B7D" w:rsidP="00F5361C">
      <w:pPr>
        <w:pStyle w:val="a7"/>
        <w:numPr>
          <w:ilvl w:val="0"/>
          <w:numId w:val="4"/>
        </w:numPr>
        <w:spacing w:before="120" w:after="120" w:line="360" w:lineRule="auto"/>
        <w:jc w:val="both"/>
        <w:rPr>
          <w:rFonts w:ascii="David" w:hAnsi="David" w:cs="David"/>
          <w:sz w:val="24"/>
          <w:szCs w:val="24"/>
          <w:u w:val="single"/>
        </w:rPr>
      </w:pPr>
      <w:r>
        <w:rPr>
          <w:rFonts w:ascii="David" w:hAnsi="David" w:cs="David" w:hint="cs"/>
          <w:b/>
          <w:bCs/>
          <w:sz w:val="24"/>
          <w:szCs w:val="24"/>
          <w:u w:val="single"/>
          <w:rtl/>
        </w:rPr>
        <w:t>הערה:</w:t>
      </w:r>
      <w:r>
        <w:rPr>
          <w:rFonts w:ascii="David" w:hAnsi="David" w:cs="David" w:hint="cs"/>
          <w:b/>
          <w:bCs/>
          <w:sz w:val="24"/>
          <w:szCs w:val="24"/>
          <w:rtl/>
        </w:rPr>
        <w:t xml:space="preserve"> </w:t>
      </w:r>
      <w:r w:rsidR="00900606">
        <w:rPr>
          <w:rFonts w:ascii="David" w:hAnsi="David" w:cs="David" w:hint="cs"/>
          <w:b/>
          <w:bCs/>
          <w:sz w:val="24"/>
          <w:szCs w:val="24"/>
          <w:rtl/>
        </w:rPr>
        <w:t xml:space="preserve">אין מניעה להשתמש בחוו"ד מומחה </w:t>
      </w:r>
      <w:r w:rsidR="00D035DC">
        <w:rPr>
          <w:rFonts w:ascii="David" w:hAnsi="David" w:cs="David" w:hint="cs"/>
          <w:b/>
          <w:bCs/>
          <w:sz w:val="24"/>
          <w:szCs w:val="24"/>
          <w:rtl/>
        </w:rPr>
        <w:t xml:space="preserve">מטעם המבוקר גם אם מידת האובייקטיביות שלו נפגעת באופן מהותי, אלא שיש לשקול במקרים אלה את תוכן חוו"ד במשנה זהירות, לאור העובדה שנוצר איום גדול יותר על מידת האובייקטיביות של אותו מומחה. הדבר נכון גם אם המומחה הוא עו"ד שכיר בחברה והוא בנו או אחיינו של בעל השליטה בחברה. </w:t>
      </w:r>
    </w:p>
    <w:p w:rsidR="00C40B7D" w:rsidRDefault="00C40B7D" w:rsidP="00F5361C">
      <w:pPr>
        <w:pStyle w:val="a7"/>
        <w:numPr>
          <w:ilvl w:val="0"/>
          <w:numId w:val="5"/>
        </w:numPr>
        <w:spacing w:before="120" w:after="120" w:line="360" w:lineRule="auto"/>
        <w:jc w:val="both"/>
        <w:rPr>
          <w:rFonts w:ascii="David" w:hAnsi="David" w:cs="David"/>
          <w:sz w:val="24"/>
          <w:szCs w:val="24"/>
          <w:u w:val="single"/>
        </w:rPr>
      </w:pPr>
      <w:r>
        <w:rPr>
          <w:rFonts w:ascii="David" w:hAnsi="David" w:cs="David" w:hint="cs"/>
          <w:sz w:val="24"/>
          <w:szCs w:val="24"/>
          <w:u w:val="single"/>
          <w:rtl/>
        </w:rPr>
        <w:t xml:space="preserve">מקרה קרדן </w:t>
      </w:r>
      <w:r>
        <w:rPr>
          <w:rFonts w:ascii="David" w:hAnsi="David" w:cs="David" w:hint="cs"/>
          <w:sz w:val="24"/>
          <w:szCs w:val="24"/>
          <w:u w:val="single"/>
        </w:rPr>
        <w:t>NV</w:t>
      </w:r>
      <w:r>
        <w:rPr>
          <w:rFonts w:ascii="David" w:hAnsi="David" w:cs="David" w:hint="cs"/>
          <w:sz w:val="24"/>
          <w:szCs w:val="24"/>
          <w:u w:val="single"/>
          <w:rtl/>
        </w:rPr>
        <w:t xml:space="preserve"> כלכליסט 24/10/13 הערכות שמאי המקרקעין של החברה שהיו שונות באופן מהותי מהערכות השמאי של הרשות לני"ע. </w:t>
      </w:r>
    </w:p>
    <w:p w:rsidR="007B0557" w:rsidRDefault="007B0557" w:rsidP="00DD4368">
      <w:pPr>
        <w:spacing w:before="120" w:after="120" w:line="360" w:lineRule="auto"/>
        <w:jc w:val="both"/>
        <w:rPr>
          <w:rFonts w:ascii="David" w:hAnsi="David" w:cs="David" w:hint="cs"/>
          <w:b/>
          <w:bCs/>
          <w:sz w:val="24"/>
          <w:szCs w:val="24"/>
          <w:u w:val="single"/>
          <w:rtl/>
        </w:rPr>
      </w:pPr>
      <w:r>
        <w:rPr>
          <w:rFonts w:ascii="David" w:hAnsi="David" w:cs="David" w:hint="cs"/>
          <w:b/>
          <w:bCs/>
          <w:sz w:val="24"/>
          <w:szCs w:val="24"/>
          <w:u w:val="single"/>
          <w:rtl/>
        </w:rPr>
        <w:lastRenderedPageBreak/>
        <w:t xml:space="preserve">אי תלות המומחה </w:t>
      </w:r>
    </w:p>
    <w:p w:rsidR="001A028B" w:rsidRDefault="007B0557" w:rsidP="00DD4368">
      <w:pPr>
        <w:spacing w:before="120" w:after="120" w:line="360" w:lineRule="auto"/>
        <w:jc w:val="both"/>
        <w:rPr>
          <w:rFonts w:ascii="David" w:hAnsi="David" w:cs="David" w:hint="cs"/>
          <w:sz w:val="24"/>
          <w:szCs w:val="24"/>
          <w:rtl/>
        </w:rPr>
      </w:pPr>
      <w:r>
        <w:rPr>
          <w:rFonts w:ascii="David" w:hAnsi="David" w:cs="David" w:hint="cs"/>
          <w:sz w:val="24"/>
          <w:szCs w:val="24"/>
          <w:rtl/>
        </w:rPr>
        <w:t xml:space="preserve">על פי </w:t>
      </w:r>
      <w:r w:rsidRPr="007B0557">
        <w:rPr>
          <w:rFonts w:ascii="David" w:hAnsi="David" w:cs="David" w:hint="cs"/>
          <w:b/>
          <w:bCs/>
          <w:sz w:val="24"/>
          <w:szCs w:val="24"/>
          <w:rtl/>
        </w:rPr>
        <w:t xml:space="preserve">תקנה 5 לתקנות רו"ח (ניגוד עניינים ופגיעה באי תלות כתוצאה מעיסוק אחר) התשס"ח </w:t>
      </w:r>
      <w:r w:rsidRPr="007B0557">
        <w:rPr>
          <w:rFonts w:ascii="David" w:hAnsi="David" w:cs="David"/>
          <w:b/>
          <w:bCs/>
          <w:sz w:val="24"/>
          <w:szCs w:val="24"/>
          <w:rtl/>
        </w:rPr>
        <w:t>–</w:t>
      </w:r>
      <w:r w:rsidRPr="007B0557">
        <w:rPr>
          <w:rFonts w:ascii="David" w:hAnsi="David" w:cs="David" w:hint="cs"/>
          <w:b/>
          <w:bCs/>
          <w:sz w:val="24"/>
          <w:szCs w:val="24"/>
          <w:rtl/>
        </w:rPr>
        <w:t xml:space="preserve"> 2008 </w:t>
      </w:r>
      <w:r w:rsidRPr="007B0557">
        <w:rPr>
          <w:rFonts w:ascii="David" w:hAnsi="David" w:cs="David"/>
          <w:b/>
          <w:bCs/>
          <w:sz w:val="24"/>
          <w:szCs w:val="24"/>
          <w:rtl/>
        </w:rPr>
        <w:t>–</w:t>
      </w:r>
      <w:r>
        <w:rPr>
          <w:rFonts w:ascii="David" w:hAnsi="David" w:cs="David" w:hint="cs"/>
          <w:sz w:val="24"/>
          <w:szCs w:val="24"/>
          <w:rtl/>
        </w:rPr>
        <w:t xml:space="preserve"> </w:t>
      </w:r>
    </w:p>
    <w:tbl>
      <w:tblPr>
        <w:tblStyle w:val="ab"/>
        <w:bidiVisual/>
        <w:tblW w:w="0" w:type="auto"/>
        <w:tblLook w:val="04A0" w:firstRow="1" w:lastRow="0" w:firstColumn="1" w:lastColumn="0" w:noHBand="0" w:noVBand="1"/>
      </w:tblPr>
      <w:tblGrid>
        <w:gridCol w:w="8296"/>
      </w:tblGrid>
      <w:tr w:rsidR="00643DF1" w:rsidRPr="00643DF1" w:rsidTr="00643DF1">
        <w:trPr>
          <w:trHeight w:val="3368"/>
        </w:trPr>
        <w:tc>
          <w:tcPr>
            <w:tcW w:w="8296" w:type="dxa"/>
          </w:tcPr>
          <w:p w:rsidR="00643DF1" w:rsidRPr="00643DF1" w:rsidRDefault="00643DF1" w:rsidP="00DD4368">
            <w:pPr>
              <w:spacing w:before="120" w:after="120" w:line="360" w:lineRule="auto"/>
              <w:jc w:val="both"/>
              <w:rPr>
                <w:rFonts w:ascii="David" w:hAnsi="David" w:cs="David"/>
                <w:b/>
                <w:bCs/>
                <w:sz w:val="24"/>
                <w:szCs w:val="24"/>
                <w:rtl/>
              </w:rPr>
            </w:pPr>
            <w:r w:rsidRPr="00643DF1">
              <w:rPr>
                <w:rFonts w:ascii="David" w:hAnsi="David" w:cs="David" w:hint="cs"/>
                <w:b/>
                <w:bCs/>
                <w:i/>
                <w:iCs/>
                <w:sz w:val="24"/>
                <w:szCs w:val="24"/>
                <w:rtl/>
              </w:rPr>
              <w:t>"5</w:t>
            </w:r>
            <w:r w:rsidRPr="00643DF1">
              <w:rPr>
                <w:rFonts w:ascii="David" w:hAnsi="David" w:cs="David"/>
                <w:b/>
                <w:bCs/>
                <w:i/>
                <w:iCs/>
                <w:sz w:val="24"/>
                <w:szCs w:val="24"/>
                <w:rtl/>
              </w:rPr>
              <w:t>(א) אם מתקי</w:t>
            </w:r>
            <w:r w:rsidRPr="00643DF1">
              <w:rPr>
                <w:rFonts w:ascii="David" w:hAnsi="David" w:cs="David" w:hint="cs"/>
                <w:b/>
                <w:bCs/>
                <w:i/>
                <w:iCs/>
                <w:sz w:val="24"/>
                <w:szCs w:val="24"/>
                <w:rtl/>
              </w:rPr>
              <w:t>י</w:t>
            </w:r>
            <w:r w:rsidRPr="00643DF1">
              <w:rPr>
                <w:rFonts w:ascii="David" w:hAnsi="David" w:cs="David"/>
                <w:b/>
                <w:bCs/>
                <w:i/>
                <w:iCs/>
                <w:sz w:val="24"/>
                <w:szCs w:val="24"/>
                <w:rtl/>
              </w:rPr>
              <w:t>מות נסיבות לגבי מומחה שרואה החשבון המטפל עושה שימוש בעבודתו במסגרת עבודת הביקורת, שמהוות הפרה של תקני ביקורת המקובלים והנהוגים לעניין שימוש בעבודת מומחה על ידי רואה חשבון מבקר או שלא מתקיימות לגבי אותו מומחה הדרישות הנכללות בתקני הביקורת האמורים.</w:t>
            </w:r>
            <w:r w:rsidRPr="00643DF1">
              <w:rPr>
                <w:rFonts w:ascii="David" w:hAnsi="David" w:cs="David" w:hint="cs"/>
                <w:b/>
                <w:bCs/>
                <w:i/>
                <w:iCs/>
                <w:sz w:val="24"/>
                <w:szCs w:val="24"/>
                <w:rtl/>
              </w:rPr>
              <w:t>"</w:t>
            </w:r>
          </w:p>
          <w:p w:rsidR="00643DF1" w:rsidRPr="00643DF1" w:rsidRDefault="00643DF1" w:rsidP="00DD4368">
            <w:pPr>
              <w:spacing w:before="120" w:after="120" w:line="360" w:lineRule="auto"/>
              <w:jc w:val="both"/>
              <w:rPr>
                <w:rFonts w:ascii="David" w:hAnsi="David" w:cs="David"/>
                <w:b/>
                <w:bCs/>
                <w:sz w:val="24"/>
                <w:szCs w:val="24"/>
                <w:rtl/>
              </w:rPr>
            </w:pPr>
            <w:r w:rsidRPr="00643DF1">
              <w:rPr>
                <w:rFonts w:ascii="David" w:hAnsi="David" w:cs="David" w:hint="cs"/>
                <w:b/>
                <w:bCs/>
                <w:i/>
                <w:iCs/>
                <w:sz w:val="24"/>
                <w:szCs w:val="24"/>
                <w:rtl/>
              </w:rPr>
              <w:t>"</w:t>
            </w:r>
            <w:r w:rsidRPr="00643DF1">
              <w:rPr>
                <w:rFonts w:ascii="David" w:hAnsi="David" w:cs="David"/>
                <w:b/>
                <w:bCs/>
                <w:i/>
                <w:iCs/>
                <w:sz w:val="24"/>
                <w:szCs w:val="24"/>
              </w:rPr>
              <w:t>5</w:t>
            </w:r>
            <w:r w:rsidRPr="00643DF1">
              <w:rPr>
                <w:rFonts w:ascii="David" w:hAnsi="David" w:cs="David"/>
                <w:b/>
                <w:bCs/>
                <w:i/>
                <w:iCs/>
                <w:sz w:val="24"/>
                <w:szCs w:val="24"/>
                <w:rtl/>
              </w:rPr>
              <w:t>(ב) אם מתקי</w:t>
            </w:r>
            <w:r w:rsidRPr="00643DF1">
              <w:rPr>
                <w:rFonts w:ascii="David" w:hAnsi="David" w:cs="David" w:hint="cs"/>
                <w:b/>
                <w:bCs/>
                <w:i/>
                <w:iCs/>
                <w:sz w:val="24"/>
                <w:szCs w:val="24"/>
                <w:rtl/>
              </w:rPr>
              <w:t>י</w:t>
            </w:r>
            <w:r w:rsidRPr="00643DF1">
              <w:rPr>
                <w:rFonts w:ascii="David" w:hAnsi="David" w:cs="David"/>
                <w:b/>
                <w:bCs/>
                <w:i/>
                <w:iCs/>
                <w:sz w:val="24"/>
                <w:szCs w:val="24"/>
                <w:rtl/>
              </w:rPr>
              <w:t>מות נסיבות שאם היו מתקיימות במשרד רואי חשבון היו מקימות חזקה של אי תלות לפי תקנות אלו לגבי מומחים שאינם רואי חשבון המועסקים דרך שגרה על ידו או ע'יי תאגיד רואי חשבון שהוא שותף או חבר בו או על ידי תאגידים בשליטתו, בתקופת העסקתם של אותם מומחים. לעניין זה העסקה דרך שגרה היא העסקה במשך תקופה של לפחות שלושה חודשים בשנה ובהיקף של חצי משרה או יותר.</w:t>
            </w:r>
            <w:r w:rsidRPr="00643DF1">
              <w:rPr>
                <w:rFonts w:ascii="David" w:hAnsi="David" w:cs="David" w:hint="cs"/>
                <w:b/>
                <w:bCs/>
                <w:i/>
                <w:iCs/>
                <w:sz w:val="24"/>
                <w:szCs w:val="24"/>
                <w:rtl/>
              </w:rPr>
              <w:t>"</w:t>
            </w:r>
          </w:p>
        </w:tc>
      </w:tr>
    </w:tbl>
    <w:p w:rsidR="001A0058" w:rsidRDefault="007B0557" w:rsidP="00DD4368">
      <w:pPr>
        <w:spacing w:before="120" w:after="120" w:line="360" w:lineRule="auto"/>
        <w:jc w:val="both"/>
        <w:rPr>
          <w:rFonts w:ascii="David" w:hAnsi="David" w:cs="David"/>
          <w:sz w:val="24"/>
          <w:szCs w:val="24"/>
          <w:rtl/>
        </w:rPr>
      </w:pPr>
      <w:r>
        <w:rPr>
          <w:rFonts w:ascii="David" w:hAnsi="David" w:cs="David" w:hint="cs"/>
          <w:sz w:val="24"/>
          <w:szCs w:val="24"/>
          <w:rtl/>
        </w:rPr>
        <w:t xml:space="preserve">אי התלות של רו"ח המבקר נפגעת אם המומחה הוא עובד של המבקר יותר מ-3 חודשים בשנה ובהיקף של יותר ממחצית משעות העבודה החודשיות. (יותר מחצי משרה) </w:t>
      </w:r>
      <w:r w:rsidR="00F00FCE">
        <w:rPr>
          <w:rFonts w:ascii="David" w:hAnsi="David" w:cs="David"/>
          <w:sz w:val="24"/>
          <w:szCs w:val="24"/>
          <w:rtl/>
        </w:rPr>
        <w:t>–</w:t>
      </w:r>
      <w:r w:rsidR="00F00FCE">
        <w:rPr>
          <w:rFonts w:ascii="David" w:hAnsi="David" w:cs="David" w:hint="cs"/>
          <w:sz w:val="24"/>
          <w:szCs w:val="24"/>
          <w:rtl/>
        </w:rPr>
        <w:t xml:space="preserve"> המשמעות היא שמותר לרו"ח להעסיק מומחה במשרדו תחת מגבלות, ובמקרה כזה לא חל תקן אב בביקורת 8 בדבר תכנון ופיקוח באשר להעסקת המומחה.  </w:t>
      </w:r>
      <w:r>
        <w:rPr>
          <w:rFonts w:ascii="David" w:hAnsi="David" w:cs="David" w:hint="cs"/>
          <w:sz w:val="24"/>
          <w:szCs w:val="24"/>
          <w:rtl/>
        </w:rPr>
        <w:t xml:space="preserve"> </w:t>
      </w:r>
    </w:p>
    <w:p w:rsidR="007673BE" w:rsidRDefault="008C5A2D" w:rsidP="00DD4368">
      <w:pPr>
        <w:spacing w:before="120" w:after="120" w:line="360" w:lineRule="auto"/>
        <w:jc w:val="both"/>
        <w:rPr>
          <w:rFonts w:ascii="David" w:hAnsi="David" w:cs="David"/>
          <w:sz w:val="24"/>
          <w:szCs w:val="24"/>
          <w:rtl/>
        </w:rPr>
      </w:pPr>
      <w:r>
        <w:rPr>
          <w:rFonts w:ascii="David" w:hAnsi="David" w:cs="David" w:hint="cs"/>
          <w:sz w:val="24"/>
          <w:szCs w:val="24"/>
          <w:rtl/>
        </w:rPr>
        <w:t xml:space="preserve">כאשר מומחה מחזיק אחוז זניח מההון המונפק של החברה למשל (10%) או שהוא למשל: בעל השליטה (50%) </w:t>
      </w:r>
      <w:r w:rsidR="00C50415">
        <w:rPr>
          <w:rFonts w:ascii="David" w:hAnsi="David" w:cs="David"/>
          <w:sz w:val="24"/>
          <w:szCs w:val="24"/>
          <w:rtl/>
        </w:rPr>
        <w:t>–</w:t>
      </w:r>
      <w:r w:rsidR="00C50415">
        <w:rPr>
          <w:rFonts w:ascii="David" w:hAnsi="David" w:cs="David" w:hint="cs"/>
          <w:sz w:val="24"/>
          <w:szCs w:val="24"/>
          <w:rtl/>
        </w:rPr>
        <w:t xml:space="preserve"> גם אם בעל שליטה בחברה שהוא עו"ד בהשכלתו נותן חוו"ד מומחה אני לא אשלול באופן מיידי את חוו"ד שלו. הכל תלוי במהות התביעה ובסכום שלה.</w:t>
      </w:r>
    </w:p>
    <w:p w:rsidR="001A0058" w:rsidRDefault="003B740D" w:rsidP="00DD4368">
      <w:pPr>
        <w:spacing w:before="120" w:after="120" w:line="360" w:lineRule="auto"/>
        <w:jc w:val="both"/>
        <w:rPr>
          <w:rFonts w:ascii="David" w:hAnsi="David" w:cs="David"/>
          <w:sz w:val="24"/>
          <w:szCs w:val="24"/>
          <w:rtl/>
        </w:rPr>
      </w:pPr>
      <w:r>
        <w:rPr>
          <w:rFonts w:ascii="David" w:hAnsi="David" w:cs="David" w:hint="cs"/>
          <w:sz w:val="24"/>
          <w:szCs w:val="24"/>
          <w:rtl/>
        </w:rPr>
        <w:t xml:space="preserve">רו"ח המבקר לא חייב לקבל הצהרת אי תלות של המומחה במבוקר </w:t>
      </w:r>
      <w:r>
        <w:rPr>
          <w:rFonts w:ascii="David" w:hAnsi="David" w:cs="David" w:hint="cs"/>
          <w:b/>
          <w:bCs/>
          <w:sz w:val="24"/>
          <w:szCs w:val="24"/>
          <w:rtl/>
        </w:rPr>
        <w:t xml:space="preserve">כיוון שלא קיימת כל הנחיה שקובעת זאת </w:t>
      </w:r>
      <w:r>
        <w:rPr>
          <w:rFonts w:ascii="David" w:hAnsi="David" w:cs="David" w:hint="cs"/>
          <w:sz w:val="24"/>
          <w:szCs w:val="24"/>
          <w:rtl/>
        </w:rPr>
        <w:t xml:space="preserve">ועם זאת הוא רשאי לבקש. </w:t>
      </w:r>
      <w:r w:rsidR="00C50415">
        <w:rPr>
          <w:rFonts w:ascii="David" w:hAnsi="David" w:cs="David" w:hint="cs"/>
          <w:sz w:val="24"/>
          <w:szCs w:val="24"/>
          <w:rtl/>
        </w:rPr>
        <w:t xml:space="preserve"> </w:t>
      </w:r>
    </w:p>
    <w:p w:rsidR="003B740D" w:rsidRDefault="003B740D" w:rsidP="00DD4368">
      <w:pPr>
        <w:spacing w:before="120" w:after="120" w:line="360" w:lineRule="auto"/>
        <w:jc w:val="both"/>
        <w:rPr>
          <w:rFonts w:ascii="David" w:hAnsi="David" w:cs="David"/>
          <w:sz w:val="24"/>
          <w:szCs w:val="24"/>
          <w:rtl/>
        </w:rPr>
      </w:pPr>
      <w:r>
        <w:rPr>
          <w:rFonts w:ascii="David" w:hAnsi="David" w:cs="David" w:hint="cs"/>
          <w:sz w:val="24"/>
          <w:szCs w:val="24"/>
          <w:rtl/>
        </w:rPr>
        <w:t>ת"ב 96 קובע כי מומחה יכול להיות :</w:t>
      </w:r>
    </w:p>
    <w:p w:rsidR="003B740D" w:rsidRDefault="003B740D" w:rsidP="00F5361C">
      <w:pPr>
        <w:pStyle w:val="a7"/>
        <w:numPr>
          <w:ilvl w:val="0"/>
          <w:numId w:val="4"/>
        </w:numPr>
        <w:spacing w:before="120" w:after="120" w:line="360" w:lineRule="auto"/>
        <w:jc w:val="both"/>
        <w:rPr>
          <w:rFonts w:ascii="David" w:hAnsi="David" w:cs="David" w:hint="cs"/>
          <w:sz w:val="24"/>
          <w:szCs w:val="24"/>
        </w:rPr>
      </w:pPr>
      <w:r>
        <w:rPr>
          <w:rFonts w:ascii="David" w:hAnsi="David" w:cs="David" w:hint="cs"/>
          <w:sz w:val="24"/>
          <w:szCs w:val="24"/>
          <w:rtl/>
        </w:rPr>
        <w:t xml:space="preserve">נותן שירותים למבוקר </w:t>
      </w:r>
      <w:r>
        <w:rPr>
          <w:rFonts w:ascii="David" w:hAnsi="David" w:cs="David"/>
          <w:sz w:val="24"/>
          <w:szCs w:val="24"/>
          <w:rtl/>
        </w:rPr>
        <w:t>–</w:t>
      </w:r>
      <w:r>
        <w:rPr>
          <w:rFonts w:ascii="David" w:hAnsi="David" w:cs="David" w:hint="cs"/>
          <w:sz w:val="24"/>
          <w:szCs w:val="24"/>
          <w:rtl/>
        </w:rPr>
        <w:t xml:space="preserve"> פרילנסר </w:t>
      </w:r>
      <w:r>
        <w:rPr>
          <w:rFonts w:ascii="David" w:hAnsi="David" w:cs="David"/>
          <w:sz w:val="24"/>
          <w:szCs w:val="24"/>
          <w:rtl/>
        </w:rPr>
        <w:t>–</w:t>
      </w:r>
      <w:r>
        <w:rPr>
          <w:rFonts w:ascii="David" w:hAnsi="David" w:cs="David" w:hint="cs"/>
          <w:sz w:val="24"/>
          <w:szCs w:val="24"/>
          <w:rtl/>
        </w:rPr>
        <w:t xml:space="preserve"> מוציא חשבונית </w:t>
      </w:r>
    </w:p>
    <w:p w:rsidR="003B740D" w:rsidRDefault="003B740D" w:rsidP="00F5361C">
      <w:pPr>
        <w:pStyle w:val="a7"/>
        <w:numPr>
          <w:ilvl w:val="0"/>
          <w:numId w:val="4"/>
        </w:numPr>
        <w:spacing w:before="120" w:after="120" w:line="360" w:lineRule="auto"/>
        <w:jc w:val="both"/>
        <w:rPr>
          <w:rFonts w:ascii="David" w:hAnsi="David" w:cs="David" w:hint="cs"/>
          <w:sz w:val="24"/>
          <w:szCs w:val="24"/>
        </w:rPr>
      </w:pPr>
      <w:r>
        <w:rPr>
          <w:rFonts w:ascii="David" w:hAnsi="David" w:cs="David" w:hint="cs"/>
          <w:sz w:val="24"/>
          <w:szCs w:val="24"/>
          <w:rtl/>
        </w:rPr>
        <w:t xml:space="preserve">או עובד במבוקר </w:t>
      </w:r>
    </w:p>
    <w:p w:rsidR="003B740D" w:rsidRDefault="003B740D" w:rsidP="00F5361C">
      <w:pPr>
        <w:pStyle w:val="a7"/>
        <w:numPr>
          <w:ilvl w:val="0"/>
          <w:numId w:val="4"/>
        </w:numPr>
        <w:spacing w:before="120" w:after="120" w:line="360" w:lineRule="auto"/>
        <w:jc w:val="both"/>
        <w:rPr>
          <w:rFonts w:ascii="David" w:hAnsi="David" w:cs="David" w:hint="cs"/>
          <w:sz w:val="24"/>
          <w:szCs w:val="24"/>
        </w:rPr>
      </w:pPr>
      <w:r>
        <w:rPr>
          <w:rFonts w:ascii="David" w:hAnsi="David" w:cs="David" w:hint="cs"/>
          <w:sz w:val="24"/>
          <w:szCs w:val="24"/>
          <w:rtl/>
        </w:rPr>
        <w:t>או נותן שירות לרו"ח המבקר</w:t>
      </w:r>
    </w:p>
    <w:p w:rsidR="003B740D" w:rsidRDefault="003B740D" w:rsidP="00F5361C">
      <w:pPr>
        <w:pStyle w:val="a7"/>
        <w:numPr>
          <w:ilvl w:val="0"/>
          <w:numId w:val="4"/>
        </w:numPr>
        <w:spacing w:before="120" w:after="120" w:line="360" w:lineRule="auto"/>
        <w:jc w:val="both"/>
        <w:rPr>
          <w:rFonts w:ascii="David" w:hAnsi="David" w:cs="David"/>
          <w:sz w:val="24"/>
          <w:szCs w:val="24"/>
        </w:rPr>
      </w:pPr>
      <w:r>
        <w:rPr>
          <w:rFonts w:ascii="David" w:hAnsi="David" w:cs="David" w:hint="cs"/>
          <w:sz w:val="24"/>
          <w:szCs w:val="24"/>
          <w:rtl/>
        </w:rPr>
        <w:t xml:space="preserve">או שכיר של רו"ח המבקר במגבלות תקנה 5 לתקנות אי התלות. </w:t>
      </w:r>
    </w:p>
    <w:p w:rsidR="00C5488E" w:rsidRDefault="00C5488E" w:rsidP="00DD4368">
      <w:pPr>
        <w:spacing w:before="120" w:after="120" w:line="360" w:lineRule="auto"/>
        <w:jc w:val="both"/>
        <w:rPr>
          <w:rFonts w:ascii="David" w:hAnsi="David" w:cs="David"/>
          <w:b/>
          <w:bCs/>
          <w:sz w:val="24"/>
          <w:szCs w:val="24"/>
          <w:u w:val="single"/>
          <w:rtl/>
        </w:rPr>
      </w:pPr>
      <w:r>
        <w:rPr>
          <w:rFonts w:ascii="David" w:hAnsi="David" w:cs="David" w:hint="cs"/>
          <w:b/>
          <w:bCs/>
          <w:sz w:val="24"/>
          <w:szCs w:val="24"/>
          <w:u w:val="single"/>
          <w:rtl/>
        </w:rPr>
        <w:t xml:space="preserve">הערכת עבודתו של המומחה בידי המבקר </w:t>
      </w:r>
    </w:p>
    <w:p w:rsidR="00965E8D" w:rsidRDefault="00965E8D" w:rsidP="00DD4368">
      <w:pPr>
        <w:spacing w:before="120" w:after="120" w:line="360" w:lineRule="auto"/>
        <w:jc w:val="both"/>
        <w:rPr>
          <w:rFonts w:ascii="David" w:hAnsi="David" w:cs="David"/>
          <w:sz w:val="24"/>
          <w:szCs w:val="24"/>
          <w:rtl/>
        </w:rPr>
      </w:pPr>
      <w:r>
        <w:rPr>
          <w:rFonts w:ascii="David" w:hAnsi="David" w:cs="David" w:hint="cs"/>
          <w:sz w:val="24"/>
          <w:szCs w:val="24"/>
          <w:rtl/>
        </w:rPr>
        <w:t>על המבקר להעריך את נאותות עבודת המומחה כראיית ביקורת לגבי המצג שנבדק. וכן לשקול את נתוני המקור שבהם נעשה שימוש,</w:t>
      </w:r>
      <w:r w:rsidR="0077188B">
        <w:rPr>
          <w:rFonts w:ascii="David" w:hAnsi="David" w:cs="David" w:hint="cs"/>
          <w:sz w:val="24"/>
          <w:szCs w:val="24"/>
          <w:rtl/>
        </w:rPr>
        <w:t xml:space="preserve"> את ההנחות והשיטות ועקביותן ביחס לתקופות קודמות, וכן לבחון את תוצאות עבודת המומחה, לאור הידע הכולל של המבקר על עסקי הגוף המבוקר, ועל תוצאות נהלי ביקורת אחרים. </w:t>
      </w:r>
    </w:p>
    <w:p w:rsidR="00DD4368" w:rsidRDefault="00DD4368" w:rsidP="00DD4368">
      <w:pPr>
        <w:tabs>
          <w:tab w:val="left" w:pos="1419"/>
        </w:tabs>
        <w:spacing w:line="360" w:lineRule="auto"/>
        <w:rPr>
          <w:rFonts w:ascii="David" w:hAnsi="David" w:cs="David"/>
          <w:b/>
          <w:bCs/>
          <w:sz w:val="24"/>
          <w:szCs w:val="24"/>
          <w:u w:val="single"/>
          <w:rtl/>
        </w:rPr>
      </w:pPr>
    </w:p>
    <w:p w:rsidR="00DD4368" w:rsidRDefault="00DD4368" w:rsidP="00DD4368">
      <w:pPr>
        <w:tabs>
          <w:tab w:val="left" w:pos="1419"/>
        </w:tabs>
        <w:spacing w:line="360" w:lineRule="auto"/>
        <w:rPr>
          <w:rFonts w:ascii="David" w:hAnsi="David" w:cs="David"/>
          <w:b/>
          <w:bCs/>
          <w:sz w:val="24"/>
          <w:szCs w:val="24"/>
          <w:u w:val="single"/>
          <w:rtl/>
        </w:rPr>
      </w:pPr>
    </w:p>
    <w:p w:rsidR="00DD4368" w:rsidRPr="00DD4368" w:rsidRDefault="00DD4368" w:rsidP="00DD4368">
      <w:pPr>
        <w:tabs>
          <w:tab w:val="left" w:pos="1419"/>
        </w:tabs>
        <w:spacing w:before="120" w:after="120" w:line="360" w:lineRule="auto"/>
        <w:rPr>
          <w:rFonts w:ascii="David" w:hAnsi="David" w:cs="David"/>
          <w:b/>
          <w:bCs/>
          <w:sz w:val="24"/>
          <w:szCs w:val="24"/>
          <w:u w:val="single"/>
          <w:rtl/>
        </w:rPr>
      </w:pPr>
      <w:r w:rsidRPr="00DD4368">
        <w:rPr>
          <w:rFonts w:ascii="David" w:hAnsi="David" w:cs="David"/>
          <w:b/>
          <w:bCs/>
          <w:sz w:val="24"/>
          <w:szCs w:val="24"/>
          <w:u w:val="single"/>
          <w:rtl/>
        </w:rPr>
        <w:lastRenderedPageBreak/>
        <w:t>עבודת מומחה שלא מספקת ראיית ביקורת נאותה:</w:t>
      </w:r>
    </w:p>
    <w:p w:rsidR="00DD4368" w:rsidRDefault="00DD4368" w:rsidP="00DD4368">
      <w:pPr>
        <w:tabs>
          <w:tab w:val="left" w:pos="1419"/>
        </w:tabs>
        <w:spacing w:before="120" w:after="120" w:line="360" w:lineRule="auto"/>
        <w:jc w:val="both"/>
        <w:rPr>
          <w:rFonts w:ascii="David" w:hAnsi="David" w:cs="David" w:hint="cs"/>
          <w:sz w:val="24"/>
          <w:szCs w:val="24"/>
          <w:rtl/>
        </w:rPr>
      </w:pPr>
      <w:r>
        <w:rPr>
          <w:rFonts w:ascii="David" w:hAnsi="David" w:cs="David" w:hint="cs"/>
          <w:sz w:val="24"/>
          <w:szCs w:val="24"/>
          <w:rtl/>
        </w:rPr>
        <w:t xml:space="preserve">אם לאחר בדיקת רו"ח הוא הגיע לכלל דעה כי תוצאות עבודת המומחה מספקות ראיות ביקורת נאותות הרי שמבחינה זו כשלעצמה ביצע המבקר את חובתו המקצועית. </w:t>
      </w:r>
    </w:p>
    <w:p w:rsidR="00DD4368" w:rsidRDefault="00DD4368" w:rsidP="00DD4368">
      <w:pPr>
        <w:tabs>
          <w:tab w:val="left" w:pos="1419"/>
        </w:tabs>
        <w:spacing w:before="120" w:after="120" w:line="360" w:lineRule="auto"/>
        <w:jc w:val="both"/>
        <w:rPr>
          <w:rFonts w:ascii="David" w:hAnsi="David" w:cs="David"/>
          <w:sz w:val="24"/>
          <w:szCs w:val="24"/>
          <w:rtl/>
        </w:rPr>
      </w:pPr>
      <w:r>
        <w:rPr>
          <w:rFonts w:ascii="David" w:hAnsi="David" w:cs="David" w:hint="cs"/>
          <w:sz w:val="24"/>
          <w:szCs w:val="24"/>
          <w:rtl/>
        </w:rPr>
        <w:t xml:space="preserve">אולם אם לדעת המבקר תוצאות עבודת המומחה אינן מספקות ראיות ביקורת נאותות או שהן סותרות ראיות ביקורת קיימות למשל: חוו"ד של היועצים המשפטיים קובעת כי סיכויי התביעה להתממש קלושים ולאחר תאריך המאזן התביעה התבררה והתקבלה במלואה, על המבקר לנסות ולפתור את הבעיה על ידי קיום נהלי ביקורת נוספים, כולל שיחות עם המבוקר ועם המומחה.     </w:t>
      </w:r>
    </w:p>
    <w:p w:rsidR="00DD4368" w:rsidRDefault="008276C8" w:rsidP="00DD4368">
      <w:pPr>
        <w:tabs>
          <w:tab w:val="left" w:pos="1419"/>
        </w:tabs>
        <w:spacing w:before="120" w:after="120" w:line="360" w:lineRule="auto"/>
        <w:jc w:val="both"/>
        <w:rPr>
          <w:rFonts w:ascii="David" w:hAnsi="David" w:cs="David" w:hint="cs"/>
          <w:b/>
          <w:bCs/>
          <w:sz w:val="24"/>
          <w:szCs w:val="24"/>
          <w:u w:val="single"/>
          <w:rtl/>
        </w:rPr>
      </w:pPr>
      <w:r>
        <w:rPr>
          <w:rFonts w:ascii="David" w:hAnsi="David" w:cs="David" w:hint="cs"/>
          <w:b/>
          <w:bCs/>
          <w:sz w:val="24"/>
          <w:szCs w:val="24"/>
          <w:u w:val="single"/>
          <w:rtl/>
        </w:rPr>
        <w:t>השפעת ממצאי עבודת המומחה על חוות הדעת</w:t>
      </w:r>
    </w:p>
    <w:p w:rsidR="008276C8" w:rsidRDefault="00F344CC" w:rsidP="00DD4368">
      <w:pPr>
        <w:tabs>
          <w:tab w:val="left" w:pos="1419"/>
        </w:tabs>
        <w:spacing w:before="120" w:after="120" w:line="360" w:lineRule="auto"/>
        <w:jc w:val="both"/>
        <w:rPr>
          <w:rFonts w:ascii="David" w:hAnsi="David" w:cs="David"/>
          <w:sz w:val="24"/>
          <w:szCs w:val="24"/>
          <w:rtl/>
        </w:rPr>
      </w:pPr>
      <w:r>
        <w:rPr>
          <w:rFonts w:ascii="David" w:hAnsi="David" w:cs="David" w:hint="cs"/>
          <w:b/>
          <w:bCs/>
          <w:sz w:val="24"/>
          <w:szCs w:val="24"/>
          <w:rtl/>
        </w:rPr>
        <w:t xml:space="preserve">סעיף 16 לת"ב 96 </w:t>
      </w:r>
      <w:r>
        <w:rPr>
          <w:rFonts w:ascii="David" w:hAnsi="David" w:cs="David" w:hint="cs"/>
          <w:sz w:val="24"/>
          <w:szCs w:val="24"/>
          <w:rtl/>
        </w:rPr>
        <w:t>קובע כי אם רו"ח הניח את דעתו בדבר תוצאות עבודת המומחה, הרי שחוו"ד תהיה בנוסח האחיד, ולא יצוין בחוו"ד</w:t>
      </w:r>
      <w:r w:rsidR="00F7676D">
        <w:rPr>
          <w:rFonts w:ascii="David" w:hAnsi="David" w:cs="David" w:hint="cs"/>
          <w:sz w:val="24"/>
          <w:szCs w:val="24"/>
          <w:rtl/>
        </w:rPr>
        <w:t xml:space="preserve"> שימוש במומחה כשם שלא מציינים בחוו"ד נהלי ביקורת אחרים. לעומת זאת כאשר רו"ח המבקר לא הניח את דעתו </w:t>
      </w:r>
      <w:r w:rsidR="00FD1288">
        <w:rPr>
          <w:rFonts w:ascii="David" w:hAnsi="David" w:cs="David" w:hint="cs"/>
          <w:sz w:val="24"/>
          <w:szCs w:val="24"/>
          <w:rtl/>
        </w:rPr>
        <w:t xml:space="preserve">והדוכ"ס לא תוקנו, ו / או לא סופקו ראיות הביקורת הדרושות , ינהג בהתאם לת"ב 72. </w:t>
      </w:r>
    </w:p>
    <w:p w:rsidR="00FD1288" w:rsidRDefault="00FD1288" w:rsidP="00DD4368">
      <w:pPr>
        <w:tabs>
          <w:tab w:val="left" w:pos="1419"/>
        </w:tabs>
        <w:spacing w:before="120" w:after="120" w:line="360" w:lineRule="auto"/>
        <w:jc w:val="both"/>
        <w:rPr>
          <w:rFonts w:ascii="David" w:hAnsi="David" w:cs="David"/>
          <w:sz w:val="24"/>
          <w:szCs w:val="24"/>
          <w:rtl/>
        </w:rPr>
      </w:pPr>
      <w:r>
        <w:rPr>
          <w:rFonts w:ascii="David" w:hAnsi="David" w:cs="David" w:hint="cs"/>
          <w:b/>
          <w:bCs/>
          <w:sz w:val="24"/>
          <w:szCs w:val="24"/>
          <w:rtl/>
        </w:rPr>
        <w:t xml:space="preserve">סעיף 17 לת"ב 96 </w:t>
      </w:r>
      <w:r>
        <w:rPr>
          <w:rFonts w:ascii="David" w:hAnsi="David" w:cs="David" w:hint="cs"/>
          <w:sz w:val="24"/>
          <w:szCs w:val="24"/>
          <w:rtl/>
        </w:rPr>
        <w:t xml:space="preserve">קובע כי כאשר ישנה סטייה מהנוסח האחיד של דו"ח רו"ח המבקר ייתכן שבנסיבות מסוימות יהיה זה הולם להזכיר או לתאר את עבודת המומחה בפסקת הביניים לרבות ציון זהות המומחה ומידת </w:t>
      </w:r>
      <w:r w:rsidR="00DF54E8">
        <w:rPr>
          <w:rFonts w:ascii="David" w:hAnsi="David" w:cs="David" w:hint="cs"/>
          <w:sz w:val="24"/>
          <w:szCs w:val="24"/>
          <w:rtl/>
        </w:rPr>
        <w:t xml:space="preserve">מעורבותו. בנסיבות אלה המבקר יקבל את הסכמת המומחה לפני אזכור שמו ומידת מעורבותו בחוות הדעת. אם המומחה אינו מסכים לכך והמבקר סבור שהאזכור הוא הכרחי ייתכן שהמבקר יצטרך לפנות לקבלת ייעוץ משפטי. </w:t>
      </w:r>
    </w:p>
    <w:p w:rsidR="00E203A1" w:rsidRDefault="00E203A1" w:rsidP="00DD4368">
      <w:pPr>
        <w:tabs>
          <w:tab w:val="left" w:pos="1419"/>
        </w:tabs>
        <w:spacing w:before="120" w:after="120" w:line="360" w:lineRule="auto"/>
        <w:jc w:val="both"/>
        <w:rPr>
          <w:rFonts w:ascii="David" w:hAnsi="David" w:cs="David"/>
          <w:b/>
          <w:bCs/>
          <w:sz w:val="24"/>
          <w:szCs w:val="24"/>
          <w:u w:val="single"/>
          <w:rtl/>
        </w:rPr>
      </w:pPr>
    </w:p>
    <w:p w:rsidR="00E203A1" w:rsidRPr="00E203A1" w:rsidRDefault="00E203A1" w:rsidP="00DD4368">
      <w:pPr>
        <w:tabs>
          <w:tab w:val="left" w:pos="1419"/>
        </w:tabs>
        <w:spacing w:before="120" w:after="120" w:line="360" w:lineRule="auto"/>
        <w:jc w:val="both"/>
        <w:rPr>
          <w:rFonts w:ascii="David" w:hAnsi="David" w:cs="David"/>
          <w:b/>
          <w:bCs/>
          <w:sz w:val="24"/>
          <w:szCs w:val="24"/>
          <w:u w:val="single"/>
          <w:rtl/>
        </w:rPr>
      </w:pPr>
      <w:r w:rsidRPr="00E203A1">
        <w:rPr>
          <w:rFonts w:ascii="David" w:hAnsi="David" w:cs="David" w:hint="cs"/>
          <w:b/>
          <w:bCs/>
          <w:sz w:val="24"/>
          <w:szCs w:val="24"/>
          <w:u w:val="single"/>
          <w:rtl/>
        </w:rPr>
        <w:t>תכנית ביקורת לשימוש בעבודת מומחה</w:t>
      </w:r>
    </w:p>
    <w:p w:rsidR="00E203A1" w:rsidRPr="00E203A1" w:rsidRDefault="00E203A1" w:rsidP="00F5361C">
      <w:pPr>
        <w:pStyle w:val="a7"/>
        <w:numPr>
          <w:ilvl w:val="0"/>
          <w:numId w:val="6"/>
        </w:numPr>
        <w:tabs>
          <w:tab w:val="left" w:pos="1419"/>
        </w:tabs>
        <w:spacing w:before="120" w:after="120" w:line="360" w:lineRule="auto"/>
        <w:jc w:val="both"/>
        <w:rPr>
          <w:rFonts w:ascii="David" w:hAnsi="David" w:cs="David"/>
          <w:sz w:val="24"/>
          <w:szCs w:val="24"/>
          <w:rtl/>
        </w:rPr>
      </w:pPr>
      <w:r w:rsidRPr="00E203A1">
        <w:rPr>
          <w:rFonts w:ascii="David" w:hAnsi="David" w:cs="David" w:hint="cs"/>
          <w:sz w:val="24"/>
          <w:szCs w:val="24"/>
          <w:rtl/>
        </w:rPr>
        <w:t>בדוק את כישוריו של המומחה ומיומנותו (מוניטין ,  תארים מקצועיים וכדו'..)</w:t>
      </w:r>
      <w:r w:rsidR="00CD6E10">
        <w:rPr>
          <w:rFonts w:ascii="David" w:hAnsi="David" w:cs="David" w:hint="cs"/>
          <w:sz w:val="24"/>
          <w:szCs w:val="24"/>
          <w:rtl/>
        </w:rPr>
        <w:t>.</w:t>
      </w:r>
    </w:p>
    <w:p w:rsidR="00E203A1" w:rsidRPr="00E203A1" w:rsidRDefault="00E203A1" w:rsidP="00F5361C">
      <w:pPr>
        <w:pStyle w:val="a7"/>
        <w:numPr>
          <w:ilvl w:val="0"/>
          <w:numId w:val="6"/>
        </w:numPr>
        <w:tabs>
          <w:tab w:val="left" w:pos="1419"/>
        </w:tabs>
        <w:spacing w:before="120" w:after="120" w:line="360" w:lineRule="auto"/>
        <w:jc w:val="both"/>
        <w:rPr>
          <w:rFonts w:ascii="David" w:hAnsi="David" w:cs="David" w:hint="cs"/>
          <w:sz w:val="24"/>
          <w:szCs w:val="24"/>
          <w:rtl/>
        </w:rPr>
      </w:pPr>
      <w:r w:rsidRPr="00E203A1">
        <w:rPr>
          <w:rFonts w:ascii="David" w:hAnsi="David" w:cs="David" w:hint="cs"/>
          <w:sz w:val="24"/>
          <w:szCs w:val="24"/>
          <w:rtl/>
        </w:rPr>
        <w:t>הערך את רמת האובייקטיביות של המומחה *</w:t>
      </w:r>
      <w:r w:rsidR="00CD6E10">
        <w:rPr>
          <w:rFonts w:ascii="David" w:hAnsi="David" w:cs="David" w:hint="cs"/>
          <w:sz w:val="24"/>
          <w:szCs w:val="24"/>
          <w:rtl/>
        </w:rPr>
        <w:t>.</w:t>
      </w:r>
    </w:p>
    <w:p w:rsidR="00E203A1" w:rsidRDefault="00E203A1" w:rsidP="00F5361C">
      <w:pPr>
        <w:pStyle w:val="a7"/>
        <w:numPr>
          <w:ilvl w:val="0"/>
          <w:numId w:val="6"/>
        </w:numPr>
        <w:tabs>
          <w:tab w:val="left" w:pos="1419"/>
        </w:tabs>
        <w:spacing w:before="120" w:after="120" w:line="360" w:lineRule="auto"/>
        <w:jc w:val="both"/>
        <w:rPr>
          <w:rFonts w:ascii="David" w:hAnsi="David" w:cs="David"/>
          <w:sz w:val="24"/>
          <w:szCs w:val="24"/>
        </w:rPr>
      </w:pPr>
      <w:r w:rsidRPr="00E203A1">
        <w:rPr>
          <w:rFonts w:ascii="David" w:hAnsi="David" w:cs="David" w:hint="cs"/>
          <w:sz w:val="24"/>
          <w:szCs w:val="24"/>
          <w:rtl/>
        </w:rPr>
        <w:t>צור קשר עם המומחה ותאם את העבודה שתבוצע או בוצעה על ידו ותנאיה. (יצירת קשר עם מומחים נעשית רק בהסכמה מוקדמת של הנהלת המבוקר)</w:t>
      </w:r>
      <w:r w:rsidR="00CD6E10">
        <w:rPr>
          <w:rFonts w:ascii="David" w:hAnsi="David" w:cs="David" w:hint="cs"/>
          <w:sz w:val="24"/>
          <w:szCs w:val="24"/>
          <w:rtl/>
        </w:rPr>
        <w:t>.</w:t>
      </w:r>
    </w:p>
    <w:p w:rsidR="00CD6E10" w:rsidRDefault="00CD6E10" w:rsidP="00F5361C">
      <w:pPr>
        <w:pStyle w:val="a7"/>
        <w:numPr>
          <w:ilvl w:val="0"/>
          <w:numId w:val="6"/>
        </w:numPr>
        <w:tabs>
          <w:tab w:val="left" w:pos="1419"/>
        </w:tabs>
        <w:spacing w:before="120" w:after="120" w:line="360" w:lineRule="auto"/>
        <w:jc w:val="both"/>
        <w:rPr>
          <w:rFonts w:ascii="David" w:hAnsi="David" w:cs="David" w:hint="cs"/>
          <w:sz w:val="24"/>
          <w:szCs w:val="24"/>
        </w:rPr>
      </w:pPr>
      <w:r>
        <w:rPr>
          <w:rFonts w:ascii="David" w:hAnsi="David" w:cs="David" w:hint="cs"/>
          <w:sz w:val="24"/>
          <w:szCs w:val="24"/>
          <w:rtl/>
        </w:rPr>
        <w:t>בדוק את הנתונים שבהם השתמש המומחה .</w:t>
      </w:r>
    </w:p>
    <w:p w:rsidR="00CD6E10" w:rsidRDefault="00CD6E10" w:rsidP="00F5361C">
      <w:pPr>
        <w:pStyle w:val="a7"/>
        <w:numPr>
          <w:ilvl w:val="0"/>
          <w:numId w:val="6"/>
        </w:numPr>
        <w:tabs>
          <w:tab w:val="left" w:pos="1419"/>
        </w:tabs>
        <w:spacing w:before="120" w:after="120" w:line="360" w:lineRule="auto"/>
        <w:jc w:val="both"/>
        <w:rPr>
          <w:rFonts w:ascii="David" w:hAnsi="David" w:cs="David"/>
          <w:sz w:val="24"/>
          <w:szCs w:val="24"/>
        </w:rPr>
      </w:pPr>
      <w:r>
        <w:rPr>
          <w:rFonts w:ascii="David" w:hAnsi="David" w:cs="David" w:hint="cs"/>
          <w:sz w:val="24"/>
          <w:szCs w:val="24"/>
          <w:rtl/>
        </w:rPr>
        <w:t xml:space="preserve">בדוק את ההנחות ושיטות העבודה שיושמו והאם הן בוצעו בעקביות בשנים קודמות. </w:t>
      </w:r>
    </w:p>
    <w:p w:rsidR="00CD6E10" w:rsidRDefault="00CD6E10" w:rsidP="00F5361C">
      <w:pPr>
        <w:pStyle w:val="a7"/>
        <w:numPr>
          <w:ilvl w:val="0"/>
          <w:numId w:val="6"/>
        </w:numPr>
        <w:tabs>
          <w:tab w:val="left" w:pos="1419"/>
        </w:tabs>
        <w:spacing w:before="120" w:after="120" w:line="360" w:lineRule="auto"/>
        <w:jc w:val="both"/>
        <w:rPr>
          <w:rFonts w:ascii="David" w:hAnsi="David" w:cs="David"/>
          <w:sz w:val="24"/>
          <w:szCs w:val="24"/>
        </w:rPr>
      </w:pPr>
      <w:r>
        <w:rPr>
          <w:rFonts w:ascii="David" w:hAnsi="David" w:cs="David" w:hint="cs"/>
          <w:sz w:val="24"/>
          <w:szCs w:val="24"/>
          <w:rtl/>
        </w:rPr>
        <w:t xml:space="preserve">בדוק את תוצאות עבודת המומחה לאור הידע הקיים על עסקי הלקוח, ותוצאות נהלי ביקורת אחרים שיושמו. </w:t>
      </w:r>
    </w:p>
    <w:p w:rsidR="00CD6E10" w:rsidRDefault="00CD6E10" w:rsidP="00F5361C">
      <w:pPr>
        <w:pStyle w:val="a7"/>
        <w:numPr>
          <w:ilvl w:val="0"/>
          <w:numId w:val="6"/>
        </w:numPr>
        <w:tabs>
          <w:tab w:val="left" w:pos="1419"/>
        </w:tabs>
        <w:spacing w:before="120" w:after="120" w:line="360" w:lineRule="auto"/>
        <w:jc w:val="both"/>
        <w:rPr>
          <w:rFonts w:ascii="David" w:hAnsi="David" w:cs="David" w:hint="cs"/>
          <w:sz w:val="24"/>
          <w:szCs w:val="24"/>
        </w:rPr>
      </w:pPr>
      <w:r>
        <w:rPr>
          <w:rFonts w:ascii="David" w:hAnsi="David" w:cs="David" w:hint="cs"/>
          <w:sz w:val="24"/>
          <w:szCs w:val="24"/>
          <w:rtl/>
        </w:rPr>
        <w:t>ברר עם המומחה באילו נהלים נקט כדי לוודא שמסד הנתונים נכון.</w:t>
      </w:r>
    </w:p>
    <w:p w:rsidR="00CD6E10" w:rsidRDefault="00CD6E10" w:rsidP="00F5361C">
      <w:pPr>
        <w:pStyle w:val="a7"/>
        <w:numPr>
          <w:ilvl w:val="0"/>
          <w:numId w:val="6"/>
        </w:numPr>
        <w:tabs>
          <w:tab w:val="left" w:pos="1419"/>
        </w:tabs>
        <w:spacing w:before="120" w:after="120" w:line="360" w:lineRule="auto"/>
        <w:jc w:val="both"/>
        <w:rPr>
          <w:rFonts w:ascii="David" w:hAnsi="David" w:cs="David" w:hint="cs"/>
          <w:sz w:val="24"/>
          <w:szCs w:val="24"/>
        </w:rPr>
      </w:pPr>
      <w:r>
        <w:rPr>
          <w:rFonts w:ascii="David" w:hAnsi="David" w:cs="David" w:hint="cs"/>
          <w:sz w:val="24"/>
          <w:szCs w:val="24"/>
          <w:rtl/>
        </w:rPr>
        <w:t xml:space="preserve">אם תוצאות עבודת המומחה אינן מספקות ראיות ביקורת מתאימות או שאינן עקביות עם ראיות ביקורת אחרות, דון בכך עם הלקוח והמומחה. </w:t>
      </w:r>
    </w:p>
    <w:p w:rsidR="00CD6E10" w:rsidRDefault="00CD6E10" w:rsidP="00F5361C">
      <w:pPr>
        <w:pStyle w:val="a7"/>
        <w:numPr>
          <w:ilvl w:val="0"/>
          <w:numId w:val="5"/>
        </w:numPr>
        <w:tabs>
          <w:tab w:val="left" w:pos="1419"/>
        </w:tabs>
        <w:spacing w:before="120" w:after="120" w:line="360" w:lineRule="auto"/>
        <w:ind w:left="697" w:hanging="357"/>
        <w:jc w:val="both"/>
        <w:rPr>
          <w:rFonts w:ascii="David" w:hAnsi="David" w:cs="David"/>
          <w:b/>
          <w:bCs/>
          <w:sz w:val="24"/>
          <w:szCs w:val="24"/>
        </w:rPr>
      </w:pPr>
      <w:r w:rsidRPr="00874FAF">
        <w:rPr>
          <w:rFonts w:ascii="David" w:hAnsi="David" w:cs="David" w:hint="cs"/>
          <w:b/>
          <w:bCs/>
          <w:sz w:val="24"/>
          <w:szCs w:val="24"/>
          <w:rtl/>
        </w:rPr>
        <w:t xml:space="preserve">הנספח לתקן עוסק בהיבטי יישום </w:t>
      </w:r>
      <w:r w:rsidR="00E57C44" w:rsidRPr="00874FAF">
        <w:rPr>
          <w:rFonts w:ascii="David" w:hAnsi="David" w:cs="David" w:hint="cs"/>
          <w:b/>
          <w:bCs/>
          <w:sz w:val="24"/>
          <w:szCs w:val="24"/>
          <w:rtl/>
        </w:rPr>
        <w:t xml:space="preserve">והסברים בדבר הערכת האובייקטיביות של המומחה. ולכן יכולה להיות שאלה : "כתוב תכנית ביקורת להערכת אובייקטיביות להסתמכות על מומחים" שהתשובה תהייה מבוססת על אותו נספח כלומר, על ארבעת או חמשת הסעיפים הכתובים בנספח שינוסחו מחדש בלשון ציווי כתכנית ביקורת ייחודית. </w:t>
      </w:r>
    </w:p>
    <w:p w:rsidR="0000367B" w:rsidRDefault="0000367B" w:rsidP="00F5361C">
      <w:pPr>
        <w:pStyle w:val="a7"/>
        <w:numPr>
          <w:ilvl w:val="0"/>
          <w:numId w:val="5"/>
        </w:numPr>
        <w:tabs>
          <w:tab w:val="left" w:pos="1419"/>
        </w:tabs>
        <w:spacing w:before="120" w:after="120" w:line="360" w:lineRule="auto"/>
        <w:ind w:left="697" w:hanging="357"/>
        <w:jc w:val="both"/>
        <w:rPr>
          <w:rFonts w:ascii="David" w:hAnsi="David" w:cs="David"/>
          <w:b/>
          <w:bCs/>
          <w:sz w:val="24"/>
          <w:szCs w:val="24"/>
        </w:rPr>
      </w:pPr>
      <w:r>
        <w:rPr>
          <w:rFonts w:ascii="David" w:hAnsi="David" w:cs="David" w:hint="cs"/>
          <w:b/>
          <w:bCs/>
          <w:sz w:val="24"/>
          <w:szCs w:val="24"/>
          <w:rtl/>
        </w:rPr>
        <w:t>אם תהיה בבחינה שאלה שהדריש</w:t>
      </w:r>
      <w:r w:rsidR="00E12060">
        <w:rPr>
          <w:rFonts w:ascii="David" w:hAnsi="David" w:cs="David" w:hint="cs"/>
          <w:b/>
          <w:bCs/>
          <w:sz w:val="24"/>
          <w:szCs w:val="24"/>
          <w:rtl/>
        </w:rPr>
        <w:t>ה</w:t>
      </w:r>
      <w:r>
        <w:rPr>
          <w:rFonts w:ascii="David" w:hAnsi="David" w:cs="David" w:hint="cs"/>
          <w:b/>
          <w:bCs/>
          <w:sz w:val="24"/>
          <w:szCs w:val="24"/>
          <w:rtl/>
        </w:rPr>
        <w:t xml:space="preserve"> בה כתוב תכנית ביקורת להסתמכות על מומחים נפתח את ת"ב 96 וננסח את הסעיפים לפי סדר בלשון ציווי. </w:t>
      </w:r>
    </w:p>
    <w:p w:rsidR="006D6DB3" w:rsidRDefault="00E12060" w:rsidP="006D6DB3">
      <w:pPr>
        <w:tabs>
          <w:tab w:val="left" w:pos="1419"/>
        </w:tabs>
        <w:spacing w:before="120" w:after="120" w:line="360" w:lineRule="auto"/>
        <w:ind w:left="340"/>
        <w:jc w:val="center"/>
        <w:rPr>
          <w:rFonts w:ascii="David" w:hAnsi="David" w:cs="David"/>
          <w:b/>
          <w:bCs/>
          <w:sz w:val="24"/>
          <w:szCs w:val="24"/>
          <w:u w:val="single"/>
          <w:rtl/>
        </w:rPr>
      </w:pPr>
      <w:r w:rsidRPr="006D6DB3">
        <w:rPr>
          <w:rFonts w:ascii="David" w:hAnsi="David" w:cs="David" w:hint="cs"/>
          <w:b/>
          <w:bCs/>
          <w:sz w:val="24"/>
          <w:szCs w:val="24"/>
          <w:u w:val="single"/>
          <w:rtl/>
        </w:rPr>
        <w:lastRenderedPageBreak/>
        <w:t xml:space="preserve">מכתב </w:t>
      </w:r>
      <w:r w:rsidR="006D6DB3" w:rsidRPr="006D6DB3">
        <w:rPr>
          <w:rFonts w:ascii="David" w:hAnsi="David" w:cs="David" w:hint="cs"/>
          <w:b/>
          <w:bCs/>
          <w:sz w:val="24"/>
          <w:szCs w:val="24"/>
          <w:u w:val="single"/>
          <w:rtl/>
        </w:rPr>
        <w:t xml:space="preserve">היועצים המשפטיים </w:t>
      </w:r>
      <w:r w:rsidR="006D6DB3" w:rsidRPr="006D6DB3">
        <w:rPr>
          <w:rFonts w:ascii="David" w:hAnsi="David" w:cs="David" w:hint="cs"/>
          <w:b/>
          <w:bCs/>
          <w:sz w:val="24"/>
          <w:szCs w:val="24"/>
          <w:u w:val="single"/>
        </w:rPr>
        <w:t>LEGAL LETTER</w:t>
      </w:r>
    </w:p>
    <w:p w:rsidR="006D6DB3" w:rsidRDefault="00E12060" w:rsidP="006D6DB3">
      <w:pPr>
        <w:tabs>
          <w:tab w:val="left" w:pos="1419"/>
        </w:tabs>
        <w:spacing w:before="120" w:after="120" w:line="360" w:lineRule="auto"/>
        <w:ind w:left="340"/>
        <w:jc w:val="both"/>
        <w:rPr>
          <w:rFonts w:ascii="David" w:hAnsi="David" w:cs="David"/>
          <w:b/>
          <w:bCs/>
          <w:sz w:val="24"/>
          <w:szCs w:val="24"/>
          <w:u w:val="single"/>
          <w:rtl/>
        </w:rPr>
      </w:pPr>
      <w:r w:rsidRPr="006D6DB3">
        <w:rPr>
          <w:rFonts w:ascii="David" w:hAnsi="David" w:cs="David" w:hint="cs"/>
          <w:b/>
          <w:bCs/>
          <w:sz w:val="24"/>
          <w:szCs w:val="24"/>
          <w:u w:val="single"/>
          <w:rtl/>
        </w:rPr>
        <w:t>ת"ב 83</w:t>
      </w:r>
      <w:r w:rsidR="006D6DB3">
        <w:rPr>
          <w:rFonts w:ascii="David" w:hAnsi="David" w:cs="David" w:hint="cs"/>
          <w:b/>
          <w:bCs/>
          <w:sz w:val="24"/>
          <w:szCs w:val="24"/>
          <w:u w:val="single"/>
          <w:rtl/>
        </w:rPr>
        <w:t xml:space="preserve"> סעיפים 19-25 </w:t>
      </w:r>
    </w:p>
    <w:p w:rsidR="006D6DB3" w:rsidRDefault="00BB1141" w:rsidP="006D6DB3">
      <w:pPr>
        <w:tabs>
          <w:tab w:val="left" w:pos="1419"/>
        </w:tabs>
        <w:spacing w:before="120" w:after="120" w:line="360" w:lineRule="auto"/>
        <w:ind w:left="340"/>
        <w:jc w:val="both"/>
        <w:rPr>
          <w:rFonts w:ascii="David" w:hAnsi="David" w:cs="David" w:hint="cs"/>
          <w:sz w:val="24"/>
          <w:szCs w:val="24"/>
          <w:rtl/>
        </w:rPr>
      </w:pPr>
      <w:r>
        <w:rPr>
          <w:rFonts w:ascii="David" w:hAnsi="David" w:cs="David" w:hint="cs"/>
          <w:sz w:val="24"/>
          <w:szCs w:val="24"/>
          <w:rtl/>
        </w:rPr>
        <w:t>סעיפים 19-25 בת"ב 83 עוסקים בהתדיינויות משפטיות ותביעות.</w:t>
      </w:r>
    </w:p>
    <w:p w:rsidR="00BB1141" w:rsidRDefault="00BB1141" w:rsidP="006D6DB3">
      <w:pPr>
        <w:tabs>
          <w:tab w:val="left" w:pos="1419"/>
        </w:tabs>
        <w:spacing w:before="120" w:after="120" w:line="360" w:lineRule="auto"/>
        <w:ind w:left="340"/>
        <w:jc w:val="both"/>
        <w:rPr>
          <w:rFonts w:ascii="David" w:hAnsi="David" w:cs="David"/>
          <w:sz w:val="24"/>
          <w:szCs w:val="24"/>
          <w:rtl/>
        </w:rPr>
      </w:pPr>
      <w:r>
        <w:rPr>
          <w:rFonts w:ascii="David" w:hAnsi="David" w:cs="David" w:hint="cs"/>
          <w:b/>
          <w:bCs/>
          <w:sz w:val="24"/>
          <w:szCs w:val="24"/>
          <w:rtl/>
        </w:rPr>
        <w:t xml:space="preserve">סעיף 22 </w:t>
      </w:r>
      <w:r>
        <w:rPr>
          <w:rFonts w:ascii="David" w:hAnsi="David" w:cs="David" w:hint="cs"/>
          <w:sz w:val="24"/>
          <w:szCs w:val="24"/>
          <w:rtl/>
        </w:rPr>
        <w:t xml:space="preserve">קובע כי המבקר יבקש מההנהלה להכין מכתב שישלח ע"י המבקר שבו יתבקשו היועצים המשפטיים של המבוקר לתקשר ישירות עם המבקר. </w:t>
      </w:r>
    </w:p>
    <w:p w:rsidR="00BB1141" w:rsidRDefault="00BB1141" w:rsidP="006D6DB3">
      <w:pPr>
        <w:tabs>
          <w:tab w:val="left" w:pos="1419"/>
        </w:tabs>
        <w:spacing w:before="120" w:after="120" w:line="360" w:lineRule="auto"/>
        <w:ind w:left="340"/>
        <w:jc w:val="both"/>
        <w:rPr>
          <w:rFonts w:ascii="David" w:hAnsi="David" w:cs="David" w:hint="cs"/>
          <w:sz w:val="24"/>
          <w:szCs w:val="24"/>
          <w:rtl/>
        </w:rPr>
      </w:pPr>
      <w:r>
        <w:rPr>
          <w:rFonts w:ascii="David" w:hAnsi="David" w:cs="David" w:hint="cs"/>
          <w:b/>
          <w:bCs/>
          <w:sz w:val="24"/>
          <w:szCs w:val="24"/>
          <w:rtl/>
        </w:rPr>
        <w:t xml:space="preserve">סעיף 23 </w:t>
      </w:r>
      <w:r>
        <w:rPr>
          <w:rFonts w:ascii="David" w:hAnsi="David" w:cs="David" w:hint="cs"/>
          <w:sz w:val="24"/>
          <w:szCs w:val="24"/>
          <w:rtl/>
        </w:rPr>
        <w:t>מוסיף כי ייתכן והמבקר יזדקק למידע מעודכן סמוך לתאריך החתימה על הדוכ"ס וחוו"ד עליהם.</w:t>
      </w:r>
    </w:p>
    <w:p w:rsidR="00BB1141" w:rsidRDefault="00BB1141" w:rsidP="006D6DB3">
      <w:pPr>
        <w:tabs>
          <w:tab w:val="left" w:pos="1419"/>
        </w:tabs>
        <w:spacing w:before="120" w:after="120" w:line="360" w:lineRule="auto"/>
        <w:ind w:left="340"/>
        <w:jc w:val="both"/>
        <w:rPr>
          <w:rFonts w:ascii="David" w:hAnsi="David" w:cs="David"/>
          <w:sz w:val="24"/>
          <w:szCs w:val="24"/>
          <w:rtl/>
        </w:rPr>
      </w:pPr>
      <w:r>
        <w:rPr>
          <w:rFonts w:ascii="David" w:hAnsi="David" w:cs="David" w:hint="cs"/>
          <w:b/>
          <w:bCs/>
          <w:sz w:val="24"/>
          <w:szCs w:val="24"/>
          <w:rtl/>
        </w:rPr>
        <w:t xml:space="preserve">סעיף 24 </w:t>
      </w:r>
      <w:r>
        <w:rPr>
          <w:rFonts w:ascii="David" w:hAnsi="David" w:cs="David" w:hint="cs"/>
          <w:sz w:val="24"/>
          <w:szCs w:val="24"/>
          <w:rtl/>
        </w:rPr>
        <w:t xml:space="preserve">קובע כי בנסיבות מסוימות ייתכן ויהיה צורך שהמבקר </w:t>
      </w:r>
      <w:r>
        <w:rPr>
          <w:rFonts w:ascii="David" w:hAnsi="David" w:cs="David" w:hint="cs"/>
          <w:b/>
          <w:bCs/>
          <w:sz w:val="24"/>
          <w:szCs w:val="24"/>
          <w:u w:val="single"/>
          <w:rtl/>
        </w:rPr>
        <w:t>ייפגש</w:t>
      </w:r>
      <w:r>
        <w:rPr>
          <w:rFonts w:ascii="David" w:hAnsi="David" w:cs="David" w:hint="cs"/>
          <w:sz w:val="24"/>
          <w:szCs w:val="24"/>
          <w:rtl/>
        </w:rPr>
        <w:t xml:space="preserve"> עם היועצים המשפטיים לדיון בתוצאות של תביעות משפטיות </w:t>
      </w:r>
    </w:p>
    <w:p w:rsidR="00BB1141" w:rsidRPr="00BB1141" w:rsidRDefault="00BB1141" w:rsidP="006D6DB3">
      <w:pPr>
        <w:tabs>
          <w:tab w:val="left" w:pos="1419"/>
        </w:tabs>
        <w:spacing w:before="120" w:after="120" w:line="360" w:lineRule="auto"/>
        <w:ind w:left="340"/>
        <w:jc w:val="both"/>
        <w:rPr>
          <w:rFonts w:ascii="David" w:hAnsi="David" w:cs="David" w:hint="cs"/>
          <w:sz w:val="24"/>
          <w:szCs w:val="24"/>
          <w:rtl/>
        </w:rPr>
      </w:pPr>
      <w:r>
        <w:rPr>
          <w:rFonts w:ascii="David" w:hAnsi="David" w:cs="David" w:hint="cs"/>
          <w:b/>
          <w:bCs/>
          <w:sz w:val="24"/>
          <w:szCs w:val="24"/>
          <w:rtl/>
        </w:rPr>
        <w:t xml:space="preserve">סעיף 25 </w:t>
      </w:r>
      <w:r>
        <w:rPr>
          <w:rFonts w:ascii="David" w:hAnsi="David" w:cs="David" w:hint="cs"/>
          <w:sz w:val="24"/>
          <w:szCs w:val="24"/>
          <w:rtl/>
        </w:rPr>
        <w:t>עוסק בשאלה כיצד על רו"ח המבקר לנהוג בחוו"ד כאשר ההנהלה ו / או היועצים המשפטיים מסרבים לשתף פעולה (הסבר בהמשך).</w:t>
      </w:r>
    </w:p>
    <w:p w:rsidR="00BB1141" w:rsidRDefault="00BB1141" w:rsidP="006D6DB3">
      <w:pPr>
        <w:tabs>
          <w:tab w:val="left" w:pos="1419"/>
        </w:tabs>
        <w:spacing w:before="120" w:after="120" w:line="360" w:lineRule="auto"/>
        <w:ind w:left="340"/>
        <w:jc w:val="both"/>
        <w:rPr>
          <w:rFonts w:ascii="David" w:hAnsi="David" w:cs="David"/>
          <w:sz w:val="24"/>
          <w:szCs w:val="24"/>
          <w:rtl/>
        </w:rPr>
      </w:pPr>
      <w:r>
        <w:rPr>
          <w:rFonts w:ascii="David" w:hAnsi="David" w:cs="David" w:hint="cs"/>
          <w:sz w:val="24"/>
          <w:szCs w:val="24"/>
          <w:rtl/>
        </w:rPr>
        <w:t xml:space="preserve">לעיתים קרובות נושא </w:t>
      </w:r>
      <w:r>
        <w:rPr>
          <w:rFonts w:ascii="David" w:hAnsi="David" w:cs="David" w:hint="cs"/>
          <w:sz w:val="24"/>
          <w:szCs w:val="24"/>
          <w:u w:val="single"/>
          <w:rtl/>
        </w:rPr>
        <w:t>הפרשות והתחייבויות תלויות</w:t>
      </w:r>
      <w:r>
        <w:rPr>
          <w:rFonts w:ascii="David" w:hAnsi="David" w:cs="David" w:hint="cs"/>
          <w:sz w:val="24"/>
          <w:szCs w:val="24"/>
          <w:rtl/>
        </w:rPr>
        <w:t xml:space="preserve"> הוא מהותי מאד לקוראי הדוכ"ס ולכן עבודת הביקורת בנושא אינה מושלמת, עד לקבלת המכתב מהיועצים המשפטיים של המבוקר (</w:t>
      </w:r>
      <w:r>
        <w:rPr>
          <w:rFonts w:ascii="David" w:hAnsi="David" w:cs="David"/>
          <w:sz w:val="24"/>
          <w:szCs w:val="24"/>
        </w:rPr>
        <w:t>legal letter</w:t>
      </w:r>
      <w:r>
        <w:rPr>
          <w:rFonts w:ascii="David" w:hAnsi="David" w:cs="David" w:hint="cs"/>
          <w:sz w:val="24"/>
          <w:szCs w:val="24"/>
          <w:rtl/>
        </w:rPr>
        <w:t>) מטרת נוהל ביקורת זה היא להשיג ראיה תומכת מאיש מקצוע בדבר הטיפול החשבונאי הדרוש בדוכ"ס. המכתב מנוסח ע"י המבוקר ונשלח ע"י המבקר.</w:t>
      </w:r>
    </w:p>
    <w:p w:rsidR="007571EE" w:rsidRDefault="007571EE" w:rsidP="006D6DB3">
      <w:pPr>
        <w:tabs>
          <w:tab w:val="left" w:pos="1419"/>
        </w:tabs>
        <w:spacing w:before="120" w:after="120" w:line="360" w:lineRule="auto"/>
        <w:ind w:left="340"/>
        <w:jc w:val="both"/>
        <w:rPr>
          <w:rFonts w:ascii="David" w:hAnsi="David" w:cs="David"/>
          <w:b/>
          <w:bCs/>
          <w:sz w:val="24"/>
          <w:szCs w:val="24"/>
          <w:rtl/>
        </w:rPr>
      </w:pPr>
    </w:p>
    <w:p w:rsidR="007571EE" w:rsidRDefault="007571EE" w:rsidP="006D6DB3">
      <w:pPr>
        <w:tabs>
          <w:tab w:val="left" w:pos="1419"/>
        </w:tabs>
        <w:spacing w:before="120" w:after="120" w:line="360" w:lineRule="auto"/>
        <w:ind w:left="340"/>
        <w:jc w:val="both"/>
        <w:rPr>
          <w:rFonts w:ascii="David" w:hAnsi="David" w:cs="David"/>
          <w:b/>
          <w:bCs/>
          <w:sz w:val="24"/>
          <w:szCs w:val="24"/>
          <w:rtl/>
        </w:rPr>
      </w:pPr>
    </w:p>
    <w:p w:rsidR="007571EE" w:rsidRDefault="007571EE" w:rsidP="006D6DB3">
      <w:pPr>
        <w:tabs>
          <w:tab w:val="left" w:pos="1419"/>
        </w:tabs>
        <w:spacing w:before="120" w:after="120" w:line="360" w:lineRule="auto"/>
        <w:ind w:left="340"/>
        <w:jc w:val="both"/>
        <w:rPr>
          <w:rFonts w:ascii="David" w:hAnsi="David" w:cs="David"/>
          <w:b/>
          <w:bCs/>
          <w:sz w:val="24"/>
          <w:szCs w:val="24"/>
          <w:rtl/>
        </w:rPr>
      </w:pPr>
    </w:p>
    <w:p w:rsidR="007571EE" w:rsidRDefault="007571EE" w:rsidP="006D6DB3">
      <w:pPr>
        <w:tabs>
          <w:tab w:val="left" w:pos="1419"/>
        </w:tabs>
        <w:spacing w:before="120" w:after="120" w:line="360" w:lineRule="auto"/>
        <w:ind w:left="340"/>
        <w:jc w:val="both"/>
        <w:rPr>
          <w:rFonts w:ascii="David" w:hAnsi="David" w:cs="David"/>
          <w:b/>
          <w:bCs/>
          <w:sz w:val="24"/>
          <w:szCs w:val="24"/>
          <w:rtl/>
        </w:rPr>
      </w:pPr>
    </w:p>
    <w:p w:rsidR="007571EE" w:rsidRDefault="007571EE" w:rsidP="006D6DB3">
      <w:pPr>
        <w:tabs>
          <w:tab w:val="left" w:pos="1419"/>
        </w:tabs>
        <w:spacing w:before="120" w:after="120" w:line="360" w:lineRule="auto"/>
        <w:ind w:left="340"/>
        <w:jc w:val="both"/>
        <w:rPr>
          <w:rFonts w:ascii="David" w:hAnsi="David" w:cs="David"/>
          <w:b/>
          <w:bCs/>
          <w:sz w:val="24"/>
          <w:szCs w:val="24"/>
          <w:rtl/>
        </w:rPr>
      </w:pPr>
    </w:p>
    <w:p w:rsidR="007571EE" w:rsidRDefault="007571EE" w:rsidP="006D6DB3">
      <w:pPr>
        <w:tabs>
          <w:tab w:val="left" w:pos="1419"/>
        </w:tabs>
        <w:spacing w:before="120" w:after="120" w:line="360" w:lineRule="auto"/>
        <w:ind w:left="340"/>
        <w:jc w:val="both"/>
        <w:rPr>
          <w:rFonts w:ascii="David" w:hAnsi="David" w:cs="David"/>
          <w:b/>
          <w:bCs/>
          <w:sz w:val="24"/>
          <w:szCs w:val="24"/>
          <w:rtl/>
        </w:rPr>
      </w:pPr>
    </w:p>
    <w:p w:rsidR="007571EE" w:rsidRDefault="007571EE" w:rsidP="006D6DB3">
      <w:pPr>
        <w:tabs>
          <w:tab w:val="left" w:pos="1419"/>
        </w:tabs>
        <w:spacing w:before="120" w:after="120" w:line="360" w:lineRule="auto"/>
        <w:ind w:left="340"/>
        <w:jc w:val="both"/>
        <w:rPr>
          <w:rFonts w:ascii="David" w:hAnsi="David" w:cs="David"/>
          <w:b/>
          <w:bCs/>
          <w:sz w:val="24"/>
          <w:szCs w:val="24"/>
          <w:rtl/>
        </w:rPr>
      </w:pPr>
    </w:p>
    <w:p w:rsidR="007571EE" w:rsidRDefault="007571EE" w:rsidP="006D6DB3">
      <w:pPr>
        <w:tabs>
          <w:tab w:val="left" w:pos="1419"/>
        </w:tabs>
        <w:spacing w:before="120" w:after="120" w:line="360" w:lineRule="auto"/>
        <w:ind w:left="340"/>
        <w:jc w:val="both"/>
        <w:rPr>
          <w:rFonts w:ascii="David" w:hAnsi="David" w:cs="David"/>
          <w:b/>
          <w:bCs/>
          <w:sz w:val="24"/>
          <w:szCs w:val="24"/>
          <w:rtl/>
        </w:rPr>
      </w:pPr>
    </w:p>
    <w:p w:rsidR="007571EE" w:rsidRDefault="007571EE" w:rsidP="006D6DB3">
      <w:pPr>
        <w:tabs>
          <w:tab w:val="left" w:pos="1419"/>
        </w:tabs>
        <w:spacing w:before="120" w:after="120" w:line="360" w:lineRule="auto"/>
        <w:ind w:left="340"/>
        <w:jc w:val="both"/>
        <w:rPr>
          <w:rFonts w:ascii="David" w:hAnsi="David" w:cs="David"/>
          <w:b/>
          <w:bCs/>
          <w:sz w:val="24"/>
          <w:szCs w:val="24"/>
          <w:rtl/>
        </w:rPr>
      </w:pPr>
    </w:p>
    <w:p w:rsidR="007571EE" w:rsidRDefault="007571EE" w:rsidP="006D6DB3">
      <w:pPr>
        <w:tabs>
          <w:tab w:val="left" w:pos="1419"/>
        </w:tabs>
        <w:spacing w:before="120" w:after="120" w:line="360" w:lineRule="auto"/>
        <w:ind w:left="340"/>
        <w:jc w:val="both"/>
        <w:rPr>
          <w:rFonts w:ascii="David" w:hAnsi="David" w:cs="David"/>
          <w:b/>
          <w:bCs/>
          <w:sz w:val="24"/>
          <w:szCs w:val="24"/>
          <w:rtl/>
        </w:rPr>
      </w:pPr>
    </w:p>
    <w:p w:rsidR="007571EE" w:rsidRDefault="007571EE" w:rsidP="006D6DB3">
      <w:pPr>
        <w:tabs>
          <w:tab w:val="left" w:pos="1419"/>
        </w:tabs>
        <w:spacing w:before="120" w:after="120" w:line="360" w:lineRule="auto"/>
        <w:ind w:left="340"/>
        <w:jc w:val="both"/>
        <w:rPr>
          <w:rFonts w:ascii="David" w:hAnsi="David" w:cs="David"/>
          <w:b/>
          <w:bCs/>
          <w:sz w:val="24"/>
          <w:szCs w:val="24"/>
          <w:rtl/>
        </w:rPr>
      </w:pPr>
    </w:p>
    <w:p w:rsidR="007571EE" w:rsidRDefault="007571EE" w:rsidP="006D6DB3">
      <w:pPr>
        <w:tabs>
          <w:tab w:val="left" w:pos="1419"/>
        </w:tabs>
        <w:spacing w:before="120" w:after="120" w:line="360" w:lineRule="auto"/>
        <w:ind w:left="340"/>
        <w:jc w:val="both"/>
        <w:rPr>
          <w:rFonts w:ascii="David" w:hAnsi="David" w:cs="David"/>
          <w:b/>
          <w:bCs/>
          <w:sz w:val="24"/>
          <w:szCs w:val="24"/>
          <w:rtl/>
        </w:rPr>
      </w:pPr>
    </w:p>
    <w:p w:rsidR="007571EE" w:rsidRDefault="007571EE" w:rsidP="006D6DB3">
      <w:pPr>
        <w:tabs>
          <w:tab w:val="left" w:pos="1419"/>
        </w:tabs>
        <w:spacing w:before="120" w:after="120" w:line="360" w:lineRule="auto"/>
        <w:ind w:left="340"/>
        <w:jc w:val="both"/>
        <w:rPr>
          <w:rFonts w:ascii="David" w:hAnsi="David" w:cs="David"/>
          <w:b/>
          <w:bCs/>
          <w:sz w:val="24"/>
          <w:szCs w:val="24"/>
          <w:rtl/>
        </w:rPr>
      </w:pPr>
    </w:p>
    <w:p w:rsidR="007571EE" w:rsidRDefault="007571EE" w:rsidP="006D6DB3">
      <w:pPr>
        <w:tabs>
          <w:tab w:val="left" w:pos="1419"/>
        </w:tabs>
        <w:spacing w:before="120" w:after="120" w:line="360" w:lineRule="auto"/>
        <w:ind w:left="340"/>
        <w:jc w:val="both"/>
        <w:rPr>
          <w:rFonts w:ascii="David" w:hAnsi="David" w:cs="David"/>
          <w:b/>
          <w:bCs/>
          <w:sz w:val="24"/>
          <w:szCs w:val="24"/>
          <w:rtl/>
        </w:rPr>
      </w:pPr>
    </w:p>
    <w:p w:rsidR="007571EE" w:rsidRDefault="007571EE" w:rsidP="006D6DB3">
      <w:pPr>
        <w:tabs>
          <w:tab w:val="left" w:pos="1419"/>
        </w:tabs>
        <w:spacing w:before="120" w:after="120" w:line="360" w:lineRule="auto"/>
        <w:ind w:left="340"/>
        <w:jc w:val="both"/>
        <w:rPr>
          <w:rFonts w:ascii="David" w:hAnsi="David" w:cs="David"/>
          <w:b/>
          <w:bCs/>
          <w:sz w:val="24"/>
          <w:szCs w:val="24"/>
          <w:rtl/>
        </w:rPr>
      </w:pPr>
    </w:p>
    <w:p w:rsidR="007571EE" w:rsidRDefault="007571EE" w:rsidP="006D6DB3">
      <w:pPr>
        <w:tabs>
          <w:tab w:val="left" w:pos="1419"/>
        </w:tabs>
        <w:spacing w:before="120" w:after="120" w:line="360" w:lineRule="auto"/>
        <w:ind w:left="340"/>
        <w:jc w:val="both"/>
        <w:rPr>
          <w:rFonts w:ascii="David" w:hAnsi="David" w:cs="David"/>
          <w:b/>
          <w:bCs/>
          <w:sz w:val="24"/>
          <w:szCs w:val="24"/>
          <w:rtl/>
        </w:rPr>
      </w:pPr>
    </w:p>
    <w:p w:rsidR="00BB1141" w:rsidRDefault="00BB1141" w:rsidP="006D6DB3">
      <w:pPr>
        <w:tabs>
          <w:tab w:val="left" w:pos="1419"/>
        </w:tabs>
        <w:spacing w:before="120" w:after="120" w:line="360" w:lineRule="auto"/>
        <w:ind w:left="340"/>
        <w:jc w:val="both"/>
        <w:rPr>
          <w:rFonts w:ascii="David" w:hAnsi="David" w:cs="David"/>
          <w:b/>
          <w:bCs/>
          <w:sz w:val="24"/>
          <w:szCs w:val="24"/>
          <w:rtl/>
        </w:rPr>
      </w:pPr>
      <w:r>
        <w:rPr>
          <w:rFonts w:ascii="David" w:hAnsi="David" w:cs="David" w:hint="cs"/>
          <w:b/>
          <w:bCs/>
          <w:sz w:val="24"/>
          <w:szCs w:val="24"/>
          <w:rtl/>
        </w:rPr>
        <w:lastRenderedPageBreak/>
        <w:t>דוגמא לניסוח מכתב הפניה לעו"ד:</w:t>
      </w:r>
      <w:r w:rsidR="007571EE">
        <w:rPr>
          <w:rFonts w:ascii="David" w:hAnsi="David" w:cs="David" w:hint="cs"/>
          <w:b/>
          <w:bCs/>
          <w:sz w:val="24"/>
          <w:szCs w:val="24"/>
          <w:rtl/>
        </w:rPr>
        <w:t xml:space="preserve"> (4 נקודות)</w:t>
      </w:r>
    </w:p>
    <w:p w:rsidR="00BB1141" w:rsidRDefault="00370B79" w:rsidP="00370B79">
      <w:pPr>
        <w:tabs>
          <w:tab w:val="left" w:pos="1419"/>
        </w:tabs>
        <w:spacing w:before="120" w:after="120" w:line="360" w:lineRule="auto"/>
        <w:ind w:left="340"/>
        <w:jc w:val="center"/>
        <w:rPr>
          <w:rFonts w:ascii="David" w:hAnsi="David" w:cs="David" w:hint="cs"/>
          <w:b/>
          <w:bCs/>
          <w:sz w:val="24"/>
          <w:szCs w:val="24"/>
          <w:u w:val="single"/>
          <w:rtl/>
        </w:rPr>
      </w:pPr>
      <w:r>
        <w:rPr>
          <w:rFonts w:ascii="David" w:hAnsi="David" w:cs="David" w:hint="cs"/>
          <w:b/>
          <w:bCs/>
          <w:sz w:val="24"/>
          <w:szCs w:val="24"/>
          <w:u w:val="single"/>
          <w:rtl/>
        </w:rPr>
        <w:t xml:space="preserve">לוגו החברה </w:t>
      </w:r>
    </w:p>
    <w:p w:rsidR="00370B79" w:rsidRDefault="00370B79" w:rsidP="00370B79">
      <w:pPr>
        <w:tabs>
          <w:tab w:val="left" w:pos="1419"/>
        </w:tabs>
        <w:spacing w:before="120" w:after="120" w:line="360" w:lineRule="auto"/>
        <w:ind w:left="340"/>
        <w:jc w:val="right"/>
        <w:rPr>
          <w:rFonts w:ascii="David" w:hAnsi="David" w:cs="David" w:hint="cs"/>
          <w:sz w:val="24"/>
          <w:szCs w:val="24"/>
          <w:rtl/>
        </w:rPr>
      </w:pPr>
      <w:r>
        <w:rPr>
          <w:rFonts w:ascii="David" w:hAnsi="David" w:cs="David" w:hint="cs"/>
          <w:sz w:val="24"/>
          <w:szCs w:val="24"/>
          <w:rtl/>
        </w:rPr>
        <w:t>18/01/15</w:t>
      </w:r>
    </w:p>
    <w:p w:rsidR="00370B79" w:rsidRDefault="00370B79" w:rsidP="00370B79">
      <w:pPr>
        <w:tabs>
          <w:tab w:val="left" w:pos="1419"/>
        </w:tabs>
        <w:spacing w:before="120" w:after="120" w:line="360" w:lineRule="auto"/>
        <w:ind w:left="340"/>
        <w:rPr>
          <w:rFonts w:ascii="David" w:hAnsi="David" w:cs="David" w:hint="cs"/>
          <w:sz w:val="24"/>
          <w:szCs w:val="24"/>
          <w:rtl/>
        </w:rPr>
      </w:pPr>
      <w:r>
        <w:rPr>
          <w:rFonts w:ascii="David" w:hAnsi="David" w:cs="David" w:hint="cs"/>
          <w:sz w:val="24"/>
          <w:szCs w:val="24"/>
          <w:rtl/>
        </w:rPr>
        <w:t>לכבוד מר יוסי כהן  עו"ד</w:t>
      </w:r>
    </w:p>
    <w:p w:rsidR="00370B79" w:rsidRDefault="00370B79" w:rsidP="00370B79">
      <w:pPr>
        <w:tabs>
          <w:tab w:val="left" w:pos="1419"/>
        </w:tabs>
        <w:spacing w:before="120" w:after="120" w:line="360" w:lineRule="auto"/>
        <w:ind w:left="340"/>
        <w:rPr>
          <w:rFonts w:ascii="David" w:hAnsi="David" w:cs="David" w:hint="cs"/>
          <w:sz w:val="24"/>
          <w:szCs w:val="24"/>
          <w:rtl/>
        </w:rPr>
      </w:pPr>
      <w:r>
        <w:rPr>
          <w:rFonts w:ascii="David" w:hAnsi="David" w:cs="David" w:hint="cs"/>
          <w:sz w:val="24"/>
          <w:szCs w:val="24"/>
          <w:rtl/>
        </w:rPr>
        <w:t>דרך השלום 7</w:t>
      </w:r>
    </w:p>
    <w:p w:rsidR="00370B79" w:rsidRDefault="00370B79" w:rsidP="00370B79">
      <w:pPr>
        <w:tabs>
          <w:tab w:val="left" w:pos="1419"/>
        </w:tabs>
        <w:spacing w:before="120" w:after="120" w:line="360" w:lineRule="auto"/>
        <w:ind w:left="340"/>
        <w:rPr>
          <w:rFonts w:ascii="David" w:hAnsi="David" w:cs="David" w:hint="cs"/>
          <w:sz w:val="24"/>
          <w:szCs w:val="24"/>
          <w:rtl/>
        </w:rPr>
      </w:pPr>
      <w:r>
        <w:rPr>
          <w:rFonts w:ascii="David" w:hAnsi="David" w:cs="David" w:hint="cs"/>
          <w:sz w:val="24"/>
          <w:szCs w:val="24"/>
          <w:rtl/>
        </w:rPr>
        <w:t xml:space="preserve">תל אביב </w:t>
      </w:r>
    </w:p>
    <w:p w:rsidR="00370B79" w:rsidRDefault="00370B79" w:rsidP="00370B79">
      <w:pPr>
        <w:tabs>
          <w:tab w:val="left" w:pos="1419"/>
        </w:tabs>
        <w:spacing w:before="120" w:after="120" w:line="360" w:lineRule="auto"/>
        <w:ind w:left="340"/>
        <w:jc w:val="center"/>
        <w:rPr>
          <w:rFonts w:ascii="David" w:hAnsi="David" w:cs="David" w:hint="cs"/>
          <w:sz w:val="24"/>
          <w:szCs w:val="24"/>
          <w:u w:val="single"/>
          <w:rtl/>
        </w:rPr>
      </w:pPr>
      <w:r>
        <w:rPr>
          <w:rFonts w:ascii="David" w:hAnsi="David" w:cs="David" w:hint="cs"/>
          <w:sz w:val="24"/>
          <w:szCs w:val="24"/>
          <w:u w:val="single"/>
          <w:rtl/>
        </w:rPr>
        <w:t xml:space="preserve">הנדון: חברת אבגד בע"מ מכתב היועצים המשפטיים </w:t>
      </w:r>
      <w:r>
        <w:rPr>
          <w:rFonts w:ascii="David" w:hAnsi="David" w:cs="David"/>
          <w:sz w:val="24"/>
          <w:szCs w:val="24"/>
          <w:u w:val="single"/>
          <w:rtl/>
        </w:rPr>
        <w:t>–</w:t>
      </w:r>
      <w:r>
        <w:rPr>
          <w:rFonts w:ascii="David" w:hAnsi="David" w:cs="David" w:hint="cs"/>
          <w:sz w:val="24"/>
          <w:szCs w:val="24"/>
          <w:u w:val="single"/>
          <w:rtl/>
        </w:rPr>
        <w:t xml:space="preserve"> שנת 2014</w:t>
      </w:r>
    </w:p>
    <w:p w:rsidR="00370B79" w:rsidRDefault="00370B79" w:rsidP="00370B79">
      <w:pPr>
        <w:tabs>
          <w:tab w:val="left" w:pos="1419"/>
        </w:tabs>
        <w:spacing w:before="120" w:after="120" w:line="360" w:lineRule="auto"/>
        <w:ind w:left="340"/>
        <w:jc w:val="both"/>
        <w:rPr>
          <w:rFonts w:ascii="David" w:hAnsi="David" w:cs="David"/>
          <w:sz w:val="24"/>
          <w:szCs w:val="24"/>
          <w:rtl/>
        </w:rPr>
      </w:pPr>
      <w:r w:rsidRPr="00370B79">
        <w:rPr>
          <w:rFonts w:ascii="David" w:hAnsi="David" w:cs="David" w:hint="cs"/>
          <w:sz w:val="24"/>
          <w:szCs w:val="24"/>
          <w:rtl/>
        </w:rPr>
        <w:t xml:space="preserve">בקשר </w:t>
      </w:r>
      <w:r>
        <w:rPr>
          <w:rFonts w:ascii="David" w:hAnsi="David" w:cs="David" w:hint="cs"/>
          <w:sz w:val="24"/>
          <w:szCs w:val="24"/>
          <w:rtl/>
        </w:rPr>
        <w:t>עם ביקורת חברת</w:t>
      </w:r>
      <w:r w:rsidRPr="00370B79">
        <w:rPr>
          <w:rFonts w:ascii="David" w:hAnsi="David" w:cs="David" w:hint="cs"/>
          <w:sz w:val="24"/>
          <w:szCs w:val="24"/>
          <w:rtl/>
        </w:rPr>
        <w:t>נו הנערכת במהלך תקופה זו ע"י רואי החשבון המבקרים שלנו רו"ח יעקב ואיילון לשנה שהסתיימה ביום 31/12/14</w:t>
      </w:r>
      <w:r>
        <w:rPr>
          <w:rFonts w:ascii="David" w:hAnsi="David" w:cs="David" w:hint="cs"/>
          <w:sz w:val="24"/>
          <w:szCs w:val="24"/>
          <w:rtl/>
        </w:rPr>
        <w:t xml:space="preserve"> ה</w:t>
      </w:r>
      <w:r w:rsidRPr="00370B79">
        <w:rPr>
          <w:rFonts w:ascii="David" w:hAnsi="David" w:cs="David" w:hint="cs"/>
          <w:sz w:val="24"/>
          <w:szCs w:val="24"/>
          <w:rtl/>
        </w:rPr>
        <w:t>נכם מתבקשים להמציא לנו תיאור והערכה</w:t>
      </w:r>
      <w:r>
        <w:rPr>
          <w:rFonts w:ascii="David" w:hAnsi="David" w:cs="David" w:hint="cs"/>
          <w:sz w:val="24"/>
          <w:szCs w:val="24"/>
          <w:rtl/>
        </w:rPr>
        <w:t xml:space="preserve"> בגין כל התביעות המשפטיות הקיימות, שחברתנו ו / או חברת בת שלנו היא צד להן, בין כתובעת ובין כנתבעת ובגין תביעות תלויות (ערבויות שעבודים וכו') או צפויות בהן מעורבת או עשויה להיות מעורבת חברתנו או חברה בת שלנו</w:t>
      </w:r>
      <w:r w:rsidR="006E3197">
        <w:rPr>
          <w:rFonts w:ascii="David" w:hAnsi="David" w:cs="David" w:hint="cs"/>
          <w:sz w:val="24"/>
          <w:szCs w:val="24"/>
          <w:rtl/>
        </w:rPr>
        <w:t>.</w:t>
      </w:r>
      <w:r w:rsidRPr="00370B79">
        <w:rPr>
          <w:rFonts w:ascii="David" w:hAnsi="David" w:cs="David" w:hint="cs"/>
          <w:sz w:val="24"/>
          <w:szCs w:val="24"/>
          <w:rtl/>
        </w:rPr>
        <w:t xml:space="preserve"> </w:t>
      </w:r>
    </w:p>
    <w:p w:rsidR="00370B79" w:rsidRDefault="006E3197" w:rsidP="00370B79">
      <w:pPr>
        <w:tabs>
          <w:tab w:val="left" w:pos="1419"/>
        </w:tabs>
        <w:spacing w:before="120" w:after="120" w:line="360" w:lineRule="auto"/>
        <w:ind w:left="340"/>
        <w:jc w:val="both"/>
        <w:rPr>
          <w:rFonts w:ascii="David" w:hAnsi="David" w:cs="David"/>
          <w:sz w:val="24"/>
          <w:szCs w:val="24"/>
          <w:rtl/>
        </w:rPr>
      </w:pPr>
      <w:r>
        <w:rPr>
          <w:rFonts w:ascii="David" w:hAnsi="David" w:cs="David" w:hint="cs"/>
          <w:sz w:val="24"/>
          <w:szCs w:val="24"/>
          <w:rtl/>
        </w:rPr>
        <w:t>המידע שהנכם מתבקשים להמציא לנו יקיף את שנת החשבון המדווחת ואת התקופה שלאחר תאריך המאזן ועד היום.</w:t>
      </w:r>
      <w:r w:rsidR="007571EE">
        <w:rPr>
          <w:rFonts w:ascii="David" w:hAnsi="David" w:cs="David" w:hint="cs"/>
          <w:sz w:val="24"/>
          <w:szCs w:val="24"/>
          <w:rtl/>
        </w:rPr>
        <w:t xml:space="preserve"> המידע יכלול בין היתר: את הסכומים עליהם מדובר ואת ההערכה שלכם לתוצאות הכספיות ומועד סיום העניין. בנוסף נבקשכם לציין כל סכום נוסף המגיע לכם מאיתנו אם בכלל תמורת השירותים או כל הוצאה אחרת שהוצאה על ידכם עד לתאריך מכתב זה . </w:t>
      </w:r>
    </w:p>
    <w:p w:rsidR="007571EE" w:rsidRDefault="007571EE" w:rsidP="00370B79">
      <w:pPr>
        <w:tabs>
          <w:tab w:val="left" w:pos="1419"/>
        </w:tabs>
        <w:spacing w:before="120" w:after="120" w:line="360" w:lineRule="auto"/>
        <w:ind w:left="340"/>
        <w:jc w:val="both"/>
        <w:rPr>
          <w:rFonts w:ascii="David" w:hAnsi="David" w:cs="David"/>
          <w:sz w:val="24"/>
          <w:szCs w:val="24"/>
          <w:rtl/>
        </w:rPr>
      </w:pPr>
      <w:r>
        <w:rPr>
          <w:rFonts w:ascii="David" w:hAnsi="David" w:cs="David" w:hint="cs"/>
          <w:sz w:val="24"/>
          <w:szCs w:val="24"/>
          <w:rtl/>
        </w:rPr>
        <w:t>נודה לכם אם תשלחו את תשובתכם במישרין לרו"ח המבקרים שלנו</w:t>
      </w:r>
    </w:p>
    <w:p w:rsidR="00370B79" w:rsidRDefault="00370B79" w:rsidP="00370B79">
      <w:pPr>
        <w:tabs>
          <w:tab w:val="left" w:pos="1419"/>
        </w:tabs>
        <w:spacing w:before="120" w:after="120" w:line="360" w:lineRule="auto"/>
        <w:ind w:left="340"/>
        <w:jc w:val="right"/>
        <w:rPr>
          <w:rFonts w:ascii="David" w:hAnsi="David" w:cs="David"/>
          <w:sz w:val="24"/>
          <w:szCs w:val="24"/>
          <w:rtl/>
        </w:rPr>
      </w:pPr>
      <w:r>
        <w:rPr>
          <w:rFonts w:ascii="David" w:hAnsi="David" w:cs="David" w:hint="cs"/>
          <w:sz w:val="24"/>
          <w:szCs w:val="24"/>
          <w:rtl/>
        </w:rPr>
        <w:t xml:space="preserve">בכבוד רב, </w:t>
      </w:r>
    </w:p>
    <w:p w:rsidR="007571EE" w:rsidRDefault="007571EE" w:rsidP="00370B79">
      <w:pPr>
        <w:tabs>
          <w:tab w:val="left" w:pos="1419"/>
        </w:tabs>
        <w:spacing w:before="120" w:after="120" w:line="360" w:lineRule="auto"/>
        <w:ind w:left="340"/>
        <w:jc w:val="right"/>
        <w:rPr>
          <w:rFonts w:ascii="David" w:hAnsi="David" w:cs="David" w:hint="cs"/>
          <w:sz w:val="24"/>
          <w:szCs w:val="24"/>
          <w:rtl/>
        </w:rPr>
      </w:pPr>
      <w:r>
        <w:rPr>
          <w:rFonts w:ascii="David" w:hAnsi="David" w:cs="David" w:hint="cs"/>
          <w:sz w:val="24"/>
          <w:szCs w:val="24"/>
          <w:rtl/>
        </w:rPr>
        <w:t>יוסף, יוסף מנכ"ל</w:t>
      </w:r>
    </w:p>
    <w:p w:rsidR="007571EE" w:rsidRPr="00370B79" w:rsidRDefault="007571EE" w:rsidP="00370B79">
      <w:pPr>
        <w:tabs>
          <w:tab w:val="left" w:pos="1419"/>
        </w:tabs>
        <w:spacing w:before="120" w:after="120" w:line="360" w:lineRule="auto"/>
        <w:ind w:left="340"/>
        <w:jc w:val="right"/>
        <w:rPr>
          <w:rFonts w:ascii="David" w:hAnsi="David" w:cs="David"/>
          <w:sz w:val="24"/>
          <w:szCs w:val="24"/>
          <w:rtl/>
        </w:rPr>
      </w:pPr>
      <w:r>
        <w:rPr>
          <w:rFonts w:ascii="David" w:hAnsi="David" w:cs="David" w:hint="cs"/>
          <w:sz w:val="24"/>
          <w:szCs w:val="24"/>
          <w:rtl/>
        </w:rPr>
        <w:t>והעתק לרו"ח המבקר</w:t>
      </w:r>
    </w:p>
    <w:p w:rsidR="00031E4D" w:rsidRDefault="007571EE" w:rsidP="006D6DB3">
      <w:pPr>
        <w:tabs>
          <w:tab w:val="left" w:pos="1419"/>
        </w:tabs>
        <w:spacing w:before="120" w:after="120" w:line="360" w:lineRule="auto"/>
        <w:ind w:left="340"/>
        <w:jc w:val="both"/>
        <w:rPr>
          <w:rFonts w:ascii="David" w:hAnsi="David" w:cs="David"/>
          <w:sz w:val="24"/>
          <w:szCs w:val="24"/>
          <w:rtl/>
        </w:rPr>
      </w:pPr>
      <w:r w:rsidRPr="007571EE">
        <w:rPr>
          <w:rFonts w:ascii="David" w:hAnsi="David" w:cs="David" w:hint="cs"/>
          <w:sz w:val="24"/>
          <w:szCs w:val="24"/>
          <w:rtl/>
        </w:rPr>
        <w:t>הערכת התשובות של היועץ המשפטי</w:t>
      </w:r>
      <w:r>
        <w:rPr>
          <w:rFonts w:ascii="David" w:hAnsi="David" w:cs="David" w:hint="cs"/>
          <w:sz w:val="24"/>
          <w:szCs w:val="24"/>
          <w:rtl/>
        </w:rPr>
        <w:t xml:space="preserve"> מתייחסת לטיפול החשבונאי הדרוש. (גילוי ו /או הפרשה או שאין כל טיפול חשבונאי) ומאוחר יותר, לטיפול בחוו"ד של רו"ח המבקר. </w:t>
      </w:r>
      <w:r w:rsidR="00031E4D">
        <w:rPr>
          <w:rFonts w:ascii="David" w:hAnsi="David" w:cs="David" w:hint="cs"/>
          <w:sz w:val="24"/>
          <w:szCs w:val="24"/>
          <w:rtl/>
        </w:rPr>
        <w:t>(למשל: הוספת פסקת הפניית תשומת הלב לביאור בדבר אי וודאות )</w:t>
      </w:r>
    </w:p>
    <w:p w:rsidR="00031E4D" w:rsidRDefault="00031E4D" w:rsidP="006D6DB3">
      <w:pPr>
        <w:tabs>
          <w:tab w:val="left" w:pos="1419"/>
        </w:tabs>
        <w:spacing w:before="120" w:after="120" w:line="360" w:lineRule="auto"/>
        <w:ind w:left="340"/>
        <w:jc w:val="both"/>
        <w:rPr>
          <w:rFonts w:ascii="David" w:hAnsi="David" w:cs="David" w:hint="cs"/>
          <w:sz w:val="24"/>
          <w:szCs w:val="24"/>
          <w:rtl/>
        </w:rPr>
      </w:pPr>
      <w:r>
        <w:rPr>
          <w:rFonts w:ascii="David" w:hAnsi="David" w:cs="David" w:hint="cs"/>
          <w:sz w:val="24"/>
          <w:szCs w:val="24"/>
          <w:rtl/>
        </w:rPr>
        <w:t xml:space="preserve">היועץ המשפטי נדרש להמציא חוו"ד ברורה ובהחלט ניתן לדרוש חוו"ד מפורטת עם קביעת הסיכויים להתממשות התלויות למשל: בהתבסס על פסיקות קודמות של בתי משפט כך שאין להסתפק בחוו"ד כללית ולא ברורה. </w:t>
      </w:r>
    </w:p>
    <w:p w:rsidR="00031E4D" w:rsidRDefault="00031E4D" w:rsidP="006D6DB3">
      <w:pPr>
        <w:tabs>
          <w:tab w:val="left" w:pos="1419"/>
        </w:tabs>
        <w:spacing w:before="120" w:after="120" w:line="360" w:lineRule="auto"/>
        <w:ind w:left="340"/>
        <w:jc w:val="both"/>
        <w:rPr>
          <w:rFonts w:ascii="David" w:hAnsi="David" w:cs="David"/>
          <w:sz w:val="24"/>
          <w:szCs w:val="24"/>
          <w:rtl/>
        </w:rPr>
      </w:pPr>
      <w:r>
        <w:rPr>
          <w:rFonts w:ascii="David" w:hAnsi="David" w:cs="David" w:hint="cs"/>
          <w:sz w:val="24"/>
          <w:szCs w:val="24"/>
          <w:rtl/>
        </w:rPr>
        <w:t>לעיתים רו"ח המבקר נתקל בחוסר היענות מצד היועץ המשפטי והדבר מהווה כמובן הגבלה בהיקף הביקורת ויש לפנות למבוקר ולהודיע לו על העדר שיתוף הפעולה. ברגע שנודע לרו"ח המבקר על סירוב היועצים המשפטיים למסור את חוו"ד :</w:t>
      </w:r>
    </w:p>
    <w:p w:rsidR="00031E4D" w:rsidRDefault="00031E4D" w:rsidP="00F5361C">
      <w:pPr>
        <w:pStyle w:val="a7"/>
        <w:numPr>
          <w:ilvl w:val="0"/>
          <w:numId w:val="7"/>
        </w:numPr>
        <w:tabs>
          <w:tab w:val="left" w:pos="1419"/>
        </w:tabs>
        <w:spacing w:before="120" w:after="120" w:line="360" w:lineRule="auto"/>
        <w:jc w:val="both"/>
        <w:rPr>
          <w:rFonts w:ascii="David" w:hAnsi="David" w:cs="David" w:hint="cs"/>
          <w:sz w:val="24"/>
          <w:szCs w:val="24"/>
        </w:rPr>
      </w:pPr>
      <w:r>
        <w:rPr>
          <w:rFonts w:ascii="David" w:hAnsi="David" w:cs="David" w:hint="cs"/>
          <w:sz w:val="24"/>
          <w:szCs w:val="24"/>
          <w:rtl/>
        </w:rPr>
        <w:t xml:space="preserve">יש לפנות למבוקר בבקשה שיפנה בשנית ליועצים המשפטיים ואם אלה משתכנעים ומוסרים את המכתב למבוקר אז הדבר תקין, אולם מעורר חשד כך שיש לנקוט כעת במשנה זהירות, ובכל זאת אם רו"ח המבקר הניח את דעתו באשר לנאותות המכתב, ולטיפול </w:t>
      </w:r>
      <w:r>
        <w:rPr>
          <w:rFonts w:ascii="David" w:hAnsi="David" w:cs="David" w:hint="cs"/>
          <w:sz w:val="24"/>
          <w:szCs w:val="24"/>
          <w:rtl/>
        </w:rPr>
        <w:lastRenderedPageBreak/>
        <w:t>החשבונאי בדוכ"ס ייתן חוו"ד בנוסח האחיד וישקול להוסיף הפניית תשומת לב לגבי אי הוודאות הכרוכה בתוצאות התממשות התלויה החשבונאית</w:t>
      </w:r>
    </w:p>
    <w:p w:rsidR="007571EE" w:rsidRDefault="00031E4D" w:rsidP="00F5361C">
      <w:pPr>
        <w:pStyle w:val="a7"/>
        <w:numPr>
          <w:ilvl w:val="0"/>
          <w:numId w:val="7"/>
        </w:numPr>
        <w:tabs>
          <w:tab w:val="left" w:pos="1419"/>
        </w:tabs>
        <w:spacing w:before="120" w:after="120" w:line="360" w:lineRule="auto"/>
        <w:jc w:val="both"/>
        <w:rPr>
          <w:rFonts w:ascii="David" w:hAnsi="David" w:cs="David"/>
          <w:sz w:val="24"/>
          <w:szCs w:val="24"/>
        </w:rPr>
      </w:pPr>
      <w:r>
        <w:rPr>
          <w:rFonts w:ascii="David" w:hAnsi="David" w:cs="David" w:hint="cs"/>
          <w:sz w:val="24"/>
          <w:szCs w:val="24"/>
          <w:rtl/>
        </w:rPr>
        <w:t xml:space="preserve">אם הלקוח מסרב לנסות ולשכנע את היועצים המשפטיים לתת את המכתב הנדרש אז הדבר צריך לעורר אצל רו"ח </w:t>
      </w:r>
      <w:r w:rsidR="00D663EC">
        <w:rPr>
          <w:rFonts w:ascii="David" w:hAnsi="David" w:cs="David" w:hint="cs"/>
          <w:sz w:val="24"/>
          <w:szCs w:val="24"/>
          <w:rtl/>
        </w:rPr>
        <w:t>חשד שאולי מסתירים ממנו דבר מסוי</w:t>
      </w:r>
      <w:r>
        <w:rPr>
          <w:rFonts w:ascii="David" w:hAnsi="David" w:cs="David" w:hint="cs"/>
          <w:sz w:val="24"/>
          <w:szCs w:val="24"/>
          <w:rtl/>
        </w:rPr>
        <w:t xml:space="preserve">ם. הגבלה </w:t>
      </w:r>
      <w:r w:rsidR="00D663EC">
        <w:rPr>
          <w:rFonts w:ascii="David" w:hAnsi="David" w:cs="David" w:hint="cs"/>
          <w:sz w:val="24"/>
          <w:szCs w:val="24"/>
          <w:rtl/>
        </w:rPr>
        <w:t>זו יכולה להיות במקרים מסו</w:t>
      </w:r>
      <w:r>
        <w:rPr>
          <w:rFonts w:ascii="David" w:hAnsi="David" w:cs="David" w:hint="cs"/>
          <w:sz w:val="24"/>
          <w:szCs w:val="24"/>
          <w:rtl/>
        </w:rPr>
        <w:t>ימים מסיבה מוצדקת</w:t>
      </w:r>
      <w:r w:rsidR="001B38CE">
        <w:rPr>
          <w:rFonts w:ascii="David" w:hAnsi="David" w:cs="David" w:hint="cs"/>
          <w:sz w:val="24"/>
          <w:szCs w:val="24"/>
          <w:rtl/>
        </w:rPr>
        <w:t>.</w:t>
      </w:r>
      <w:r>
        <w:rPr>
          <w:rFonts w:ascii="David" w:hAnsi="David" w:cs="David" w:hint="cs"/>
          <w:sz w:val="24"/>
          <w:szCs w:val="24"/>
          <w:rtl/>
        </w:rPr>
        <w:t xml:space="preserve"> למשל:</w:t>
      </w:r>
      <w:r w:rsidR="001B38CE">
        <w:rPr>
          <w:rFonts w:ascii="David" w:hAnsi="David" w:cs="David" w:hint="cs"/>
          <w:sz w:val="24"/>
          <w:szCs w:val="24"/>
          <w:rtl/>
        </w:rPr>
        <w:t xml:space="preserve"> חוב שכ"ט של המבוקר כלפי היועצים המשפטיים כאשר אין ביכולתו של המבוקר לשלם את שכ"ט ליועצים המשפטיים, ואז על רו"ח המבקר לנקוט בנהלי ביקורת חלופיים וחוו"ד בסופו של דבר עשויה להיות בנוסח האחיד או מסויגת או הימנעות ממתן חוו"ד (כשחוו"ד בנוסח האחיד ישקול להוסיף פסקת הפניית תשומת לב לביאור) לעומת זאת אם רו"ח המבקר לא הצליח להניח את דעתו באמצעות נהלי ביקורת חלופיים יסתייג בחוו"ד או ימנע ממתן חוו"ד בהתאם לנסיבות ת"ב 72. אם המניעים לסירוב בשנית של הפניה ליועצים המשפטיים אינם מוצדקים רו"ח המבקר ימנע ממתן חוו"ד </w:t>
      </w:r>
      <w:r w:rsidR="008761A2">
        <w:rPr>
          <w:rFonts w:ascii="David" w:hAnsi="David" w:cs="David" w:hint="cs"/>
          <w:sz w:val="24"/>
          <w:szCs w:val="24"/>
          <w:rtl/>
        </w:rPr>
        <w:t xml:space="preserve">ת"ב 72 סעיף 20. </w:t>
      </w:r>
      <w:r w:rsidR="001B38CE">
        <w:rPr>
          <w:rFonts w:ascii="David" w:hAnsi="David" w:cs="David" w:hint="cs"/>
          <w:sz w:val="24"/>
          <w:szCs w:val="24"/>
          <w:rtl/>
        </w:rPr>
        <w:t xml:space="preserve">  </w:t>
      </w:r>
      <w:r>
        <w:rPr>
          <w:rFonts w:ascii="David" w:hAnsi="David" w:cs="David" w:hint="cs"/>
          <w:sz w:val="24"/>
          <w:szCs w:val="24"/>
          <w:rtl/>
        </w:rPr>
        <w:t xml:space="preserve"> </w:t>
      </w:r>
      <w:r w:rsidR="007571EE" w:rsidRPr="00031E4D">
        <w:rPr>
          <w:rFonts w:ascii="David" w:hAnsi="David" w:cs="David" w:hint="cs"/>
          <w:sz w:val="24"/>
          <w:szCs w:val="24"/>
          <w:rtl/>
        </w:rPr>
        <w:t xml:space="preserve"> </w:t>
      </w:r>
    </w:p>
    <w:p w:rsidR="00823FA7" w:rsidRDefault="00823FA7" w:rsidP="00823FA7">
      <w:pPr>
        <w:tabs>
          <w:tab w:val="left" w:pos="1419"/>
        </w:tabs>
        <w:spacing w:before="120" w:after="120" w:line="360" w:lineRule="auto"/>
        <w:jc w:val="both"/>
        <w:rPr>
          <w:rFonts w:ascii="David" w:hAnsi="David" w:cs="David"/>
          <w:sz w:val="24"/>
          <w:szCs w:val="24"/>
          <w:rtl/>
        </w:rPr>
      </w:pPr>
      <w:r>
        <w:rPr>
          <w:rFonts w:ascii="David" w:hAnsi="David" w:cs="David" w:hint="cs"/>
          <w:sz w:val="24"/>
          <w:szCs w:val="24"/>
          <w:rtl/>
        </w:rPr>
        <w:t>מהו המידע שניתן ללמוד ממכתב היועצים המשפטיים?</w:t>
      </w:r>
    </w:p>
    <w:p w:rsidR="00823FA7" w:rsidRDefault="00823FA7" w:rsidP="00F5361C">
      <w:pPr>
        <w:pStyle w:val="a7"/>
        <w:numPr>
          <w:ilvl w:val="0"/>
          <w:numId w:val="8"/>
        </w:numPr>
        <w:tabs>
          <w:tab w:val="left" w:pos="1419"/>
        </w:tabs>
        <w:spacing w:before="120" w:after="120" w:line="360" w:lineRule="auto"/>
        <w:jc w:val="both"/>
        <w:rPr>
          <w:rFonts w:ascii="David" w:hAnsi="David" w:cs="David"/>
          <w:sz w:val="24"/>
          <w:szCs w:val="24"/>
        </w:rPr>
      </w:pPr>
      <w:r>
        <w:rPr>
          <w:rFonts w:ascii="David" w:hAnsi="David" w:cs="David" w:hint="cs"/>
          <w:sz w:val="24"/>
          <w:szCs w:val="24"/>
          <w:rtl/>
        </w:rPr>
        <w:t>קיומן של תביעות קיימות או צפויות בהן מעורבת הישות בין כתובעת ובין כנתבעת והערכת תוצאתן.</w:t>
      </w:r>
    </w:p>
    <w:p w:rsidR="00823FA7" w:rsidRDefault="00823FA7" w:rsidP="00F5361C">
      <w:pPr>
        <w:pStyle w:val="a7"/>
        <w:numPr>
          <w:ilvl w:val="0"/>
          <w:numId w:val="8"/>
        </w:numPr>
        <w:tabs>
          <w:tab w:val="left" w:pos="1419"/>
        </w:tabs>
        <w:spacing w:before="120" w:after="120" w:line="360" w:lineRule="auto"/>
        <w:jc w:val="both"/>
        <w:rPr>
          <w:rFonts w:ascii="David" w:hAnsi="David" w:cs="David" w:hint="cs"/>
          <w:sz w:val="24"/>
          <w:szCs w:val="24"/>
        </w:rPr>
      </w:pPr>
      <w:r>
        <w:rPr>
          <w:rFonts w:ascii="David" w:hAnsi="David" w:cs="David" w:hint="cs"/>
          <w:sz w:val="24"/>
          <w:szCs w:val="24"/>
          <w:rtl/>
        </w:rPr>
        <w:t>קיומן של התחייבויות תלויות כגון: ערבויות ושעבודים</w:t>
      </w:r>
    </w:p>
    <w:p w:rsidR="00823FA7" w:rsidRDefault="00823FA7" w:rsidP="00F5361C">
      <w:pPr>
        <w:pStyle w:val="a7"/>
        <w:numPr>
          <w:ilvl w:val="0"/>
          <w:numId w:val="8"/>
        </w:numPr>
        <w:tabs>
          <w:tab w:val="left" w:pos="1419"/>
        </w:tabs>
        <w:spacing w:before="120" w:after="120" w:line="360" w:lineRule="auto"/>
        <w:jc w:val="both"/>
        <w:rPr>
          <w:rFonts w:ascii="David" w:hAnsi="David" w:cs="David"/>
          <w:sz w:val="24"/>
          <w:szCs w:val="24"/>
        </w:rPr>
      </w:pPr>
      <w:r>
        <w:rPr>
          <w:rFonts w:ascii="David" w:hAnsi="David" w:cs="David" w:hint="cs"/>
          <w:sz w:val="24"/>
          <w:szCs w:val="24"/>
          <w:rtl/>
        </w:rPr>
        <w:t>חקירות המתנהלות נגד הגוף המבוקר ע"י רשויות או גורמי פיקוח והערכת השלכותיהן על הגוף המבוקר.</w:t>
      </w:r>
    </w:p>
    <w:p w:rsidR="00823FA7" w:rsidRDefault="00823FA7" w:rsidP="00F5361C">
      <w:pPr>
        <w:pStyle w:val="a7"/>
        <w:numPr>
          <w:ilvl w:val="0"/>
          <w:numId w:val="8"/>
        </w:numPr>
        <w:tabs>
          <w:tab w:val="left" w:pos="1419"/>
        </w:tabs>
        <w:spacing w:before="120" w:after="120" w:line="360" w:lineRule="auto"/>
        <w:jc w:val="both"/>
        <w:rPr>
          <w:rFonts w:ascii="David" w:hAnsi="David" w:cs="David"/>
          <w:sz w:val="24"/>
          <w:szCs w:val="24"/>
        </w:rPr>
      </w:pPr>
      <w:r>
        <w:rPr>
          <w:rFonts w:ascii="David" w:hAnsi="David" w:cs="David" w:hint="cs"/>
          <w:sz w:val="24"/>
          <w:szCs w:val="24"/>
          <w:rtl/>
        </w:rPr>
        <w:t xml:space="preserve">ניתן ללמוד האם הישות כללה בדוכ"ס את הביאורים הדרושים ואת הסכומים הדרושים. </w:t>
      </w:r>
    </w:p>
    <w:p w:rsidR="00FC4924" w:rsidRDefault="00FC4924" w:rsidP="00F5361C">
      <w:pPr>
        <w:pStyle w:val="a7"/>
        <w:numPr>
          <w:ilvl w:val="0"/>
          <w:numId w:val="8"/>
        </w:numPr>
        <w:tabs>
          <w:tab w:val="left" w:pos="1419"/>
        </w:tabs>
        <w:spacing w:before="120" w:after="120" w:line="360" w:lineRule="auto"/>
        <w:jc w:val="both"/>
        <w:rPr>
          <w:rFonts w:ascii="David" w:hAnsi="David" w:cs="David"/>
          <w:sz w:val="24"/>
          <w:szCs w:val="24"/>
        </w:rPr>
      </w:pPr>
      <w:r>
        <w:rPr>
          <w:rFonts w:ascii="David" w:hAnsi="David" w:cs="David" w:hint="cs"/>
          <w:sz w:val="24"/>
          <w:szCs w:val="24"/>
          <w:rtl/>
        </w:rPr>
        <w:t>האם ישנם נתונים שלא נכללו בדוכ"ס והיועצים המשפטים חשפו בפנינו מידע זה לראשונה.</w:t>
      </w:r>
    </w:p>
    <w:p w:rsidR="006D6DB3" w:rsidRDefault="006D6DB3" w:rsidP="00FC4924">
      <w:pPr>
        <w:tabs>
          <w:tab w:val="left" w:pos="1419"/>
        </w:tabs>
        <w:spacing w:before="120" w:after="120" w:line="360" w:lineRule="auto"/>
        <w:jc w:val="both"/>
        <w:rPr>
          <w:rFonts w:ascii="David" w:hAnsi="David" w:cs="David"/>
          <w:b/>
          <w:bCs/>
          <w:sz w:val="24"/>
          <w:szCs w:val="24"/>
          <w:u w:val="single"/>
          <w:rtl/>
        </w:rPr>
      </w:pPr>
    </w:p>
    <w:p w:rsidR="00D10708" w:rsidRDefault="00D10708" w:rsidP="00FC4924">
      <w:pPr>
        <w:tabs>
          <w:tab w:val="left" w:pos="1419"/>
        </w:tabs>
        <w:spacing w:before="120" w:after="120" w:line="360" w:lineRule="auto"/>
        <w:jc w:val="center"/>
        <w:rPr>
          <w:rFonts w:ascii="David" w:hAnsi="David" w:cs="David"/>
          <w:b/>
          <w:bCs/>
          <w:color w:val="00B050"/>
          <w:sz w:val="28"/>
          <w:szCs w:val="28"/>
          <w:u w:val="single"/>
          <w:rtl/>
        </w:rPr>
      </w:pPr>
    </w:p>
    <w:p w:rsidR="00D10708" w:rsidRDefault="00D10708" w:rsidP="00FC4924">
      <w:pPr>
        <w:tabs>
          <w:tab w:val="left" w:pos="1419"/>
        </w:tabs>
        <w:spacing w:before="120" w:after="120" w:line="360" w:lineRule="auto"/>
        <w:jc w:val="center"/>
        <w:rPr>
          <w:rFonts w:ascii="David" w:hAnsi="David" w:cs="David"/>
          <w:b/>
          <w:bCs/>
          <w:color w:val="00B050"/>
          <w:sz w:val="28"/>
          <w:szCs w:val="28"/>
          <w:u w:val="single"/>
          <w:rtl/>
        </w:rPr>
      </w:pPr>
    </w:p>
    <w:p w:rsidR="00D10708" w:rsidRDefault="00D10708" w:rsidP="00FC4924">
      <w:pPr>
        <w:tabs>
          <w:tab w:val="left" w:pos="1419"/>
        </w:tabs>
        <w:spacing w:before="120" w:after="120" w:line="360" w:lineRule="auto"/>
        <w:jc w:val="center"/>
        <w:rPr>
          <w:rFonts w:ascii="David" w:hAnsi="David" w:cs="David"/>
          <w:b/>
          <w:bCs/>
          <w:color w:val="00B050"/>
          <w:sz w:val="28"/>
          <w:szCs w:val="28"/>
          <w:u w:val="single"/>
          <w:rtl/>
        </w:rPr>
      </w:pPr>
    </w:p>
    <w:p w:rsidR="00D10708" w:rsidRDefault="00D10708" w:rsidP="00FC4924">
      <w:pPr>
        <w:tabs>
          <w:tab w:val="left" w:pos="1419"/>
        </w:tabs>
        <w:spacing w:before="120" w:after="120" w:line="360" w:lineRule="auto"/>
        <w:jc w:val="center"/>
        <w:rPr>
          <w:rFonts w:ascii="David" w:hAnsi="David" w:cs="David"/>
          <w:b/>
          <w:bCs/>
          <w:color w:val="00B050"/>
          <w:sz w:val="28"/>
          <w:szCs w:val="28"/>
          <w:u w:val="single"/>
          <w:rtl/>
        </w:rPr>
      </w:pPr>
    </w:p>
    <w:p w:rsidR="00D10708" w:rsidRDefault="00D10708" w:rsidP="00FC4924">
      <w:pPr>
        <w:tabs>
          <w:tab w:val="left" w:pos="1419"/>
        </w:tabs>
        <w:spacing w:before="120" w:after="120" w:line="360" w:lineRule="auto"/>
        <w:jc w:val="center"/>
        <w:rPr>
          <w:rFonts w:ascii="David" w:hAnsi="David" w:cs="David"/>
          <w:b/>
          <w:bCs/>
          <w:color w:val="00B050"/>
          <w:sz w:val="28"/>
          <w:szCs w:val="28"/>
          <w:u w:val="single"/>
          <w:rtl/>
        </w:rPr>
      </w:pPr>
    </w:p>
    <w:p w:rsidR="00D10708" w:rsidRDefault="00D10708" w:rsidP="00FC4924">
      <w:pPr>
        <w:tabs>
          <w:tab w:val="left" w:pos="1419"/>
        </w:tabs>
        <w:spacing w:before="120" w:after="120" w:line="360" w:lineRule="auto"/>
        <w:jc w:val="center"/>
        <w:rPr>
          <w:rFonts w:ascii="David" w:hAnsi="David" w:cs="David"/>
          <w:b/>
          <w:bCs/>
          <w:color w:val="00B050"/>
          <w:sz w:val="28"/>
          <w:szCs w:val="28"/>
          <w:u w:val="single"/>
          <w:rtl/>
        </w:rPr>
      </w:pPr>
    </w:p>
    <w:p w:rsidR="00D10708" w:rsidRDefault="00D10708" w:rsidP="00FC4924">
      <w:pPr>
        <w:tabs>
          <w:tab w:val="left" w:pos="1419"/>
        </w:tabs>
        <w:spacing w:before="120" w:after="120" w:line="360" w:lineRule="auto"/>
        <w:jc w:val="center"/>
        <w:rPr>
          <w:rFonts w:ascii="David" w:hAnsi="David" w:cs="David"/>
          <w:b/>
          <w:bCs/>
          <w:color w:val="00B050"/>
          <w:sz w:val="28"/>
          <w:szCs w:val="28"/>
          <w:u w:val="single"/>
          <w:rtl/>
        </w:rPr>
      </w:pPr>
    </w:p>
    <w:p w:rsidR="00D10708" w:rsidRDefault="00D10708" w:rsidP="00FC4924">
      <w:pPr>
        <w:tabs>
          <w:tab w:val="left" w:pos="1419"/>
        </w:tabs>
        <w:spacing w:before="120" w:after="120" w:line="360" w:lineRule="auto"/>
        <w:jc w:val="center"/>
        <w:rPr>
          <w:rFonts w:ascii="David" w:hAnsi="David" w:cs="David"/>
          <w:b/>
          <w:bCs/>
          <w:color w:val="00B050"/>
          <w:sz w:val="28"/>
          <w:szCs w:val="28"/>
          <w:u w:val="single"/>
          <w:rtl/>
        </w:rPr>
      </w:pPr>
    </w:p>
    <w:p w:rsidR="00D10708" w:rsidRDefault="00D10708" w:rsidP="00FC4924">
      <w:pPr>
        <w:tabs>
          <w:tab w:val="left" w:pos="1419"/>
        </w:tabs>
        <w:spacing w:before="120" w:after="120" w:line="360" w:lineRule="auto"/>
        <w:jc w:val="center"/>
        <w:rPr>
          <w:rFonts w:ascii="David" w:hAnsi="David" w:cs="David"/>
          <w:b/>
          <w:bCs/>
          <w:color w:val="00B050"/>
          <w:sz w:val="28"/>
          <w:szCs w:val="28"/>
          <w:u w:val="single"/>
          <w:rtl/>
        </w:rPr>
      </w:pPr>
    </w:p>
    <w:p w:rsidR="00D10708" w:rsidRDefault="00D10708" w:rsidP="00FC4924">
      <w:pPr>
        <w:tabs>
          <w:tab w:val="left" w:pos="1419"/>
        </w:tabs>
        <w:spacing w:before="120" w:after="120" w:line="360" w:lineRule="auto"/>
        <w:jc w:val="center"/>
        <w:rPr>
          <w:rFonts w:ascii="David" w:hAnsi="David" w:cs="David"/>
          <w:b/>
          <w:bCs/>
          <w:color w:val="00B050"/>
          <w:sz w:val="28"/>
          <w:szCs w:val="28"/>
          <w:u w:val="single"/>
          <w:rtl/>
        </w:rPr>
      </w:pPr>
    </w:p>
    <w:p w:rsidR="00D10708" w:rsidRDefault="00D10708" w:rsidP="00FC4924">
      <w:pPr>
        <w:tabs>
          <w:tab w:val="left" w:pos="1419"/>
        </w:tabs>
        <w:spacing w:before="120" w:after="120" w:line="360" w:lineRule="auto"/>
        <w:jc w:val="center"/>
        <w:rPr>
          <w:rFonts w:ascii="David" w:hAnsi="David" w:cs="David"/>
          <w:b/>
          <w:bCs/>
          <w:color w:val="00B050"/>
          <w:sz w:val="28"/>
          <w:szCs w:val="28"/>
          <w:u w:val="single"/>
          <w:rtl/>
        </w:rPr>
      </w:pPr>
    </w:p>
    <w:p w:rsidR="00FC4924" w:rsidRDefault="00FC4924" w:rsidP="00FC4924">
      <w:pPr>
        <w:tabs>
          <w:tab w:val="left" w:pos="1419"/>
        </w:tabs>
        <w:spacing w:before="120" w:after="120" w:line="360" w:lineRule="auto"/>
        <w:jc w:val="center"/>
        <w:rPr>
          <w:rFonts w:ascii="David" w:hAnsi="David" w:cs="David" w:hint="cs"/>
          <w:b/>
          <w:bCs/>
          <w:color w:val="00B050"/>
          <w:sz w:val="28"/>
          <w:szCs w:val="28"/>
          <w:u w:val="single"/>
          <w:rtl/>
        </w:rPr>
      </w:pPr>
      <w:r>
        <w:rPr>
          <w:rFonts w:ascii="David" w:hAnsi="David" w:cs="David" w:hint="cs"/>
          <w:b/>
          <w:bCs/>
          <w:color w:val="00B050"/>
          <w:sz w:val="28"/>
          <w:szCs w:val="28"/>
          <w:u w:val="single"/>
          <w:rtl/>
        </w:rPr>
        <w:lastRenderedPageBreak/>
        <w:t xml:space="preserve">אומדנים </w:t>
      </w:r>
      <w:r>
        <w:rPr>
          <w:rFonts w:ascii="David" w:hAnsi="David" w:cs="David"/>
          <w:b/>
          <w:bCs/>
          <w:color w:val="00B050"/>
          <w:sz w:val="28"/>
          <w:szCs w:val="28"/>
          <w:u w:val="single"/>
          <w:rtl/>
        </w:rPr>
        <w:t>–</w:t>
      </w:r>
      <w:r>
        <w:rPr>
          <w:rFonts w:ascii="David" w:hAnsi="David" w:cs="David" w:hint="cs"/>
          <w:b/>
          <w:bCs/>
          <w:color w:val="00B050"/>
          <w:sz w:val="28"/>
          <w:szCs w:val="28"/>
          <w:u w:val="single"/>
          <w:rtl/>
        </w:rPr>
        <w:t xml:space="preserve"> תקן ביקורת 81</w:t>
      </w:r>
    </w:p>
    <w:p w:rsidR="00FC4924" w:rsidRDefault="00FC4924" w:rsidP="00FC4924">
      <w:pPr>
        <w:tabs>
          <w:tab w:val="left" w:pos="1419"/>
        </w:tabs>
        <w:spacing w:line="360" w:lineRule="auto"/>
        <w:jc w:val="both"/>
        <w:rPr>
          <w:rFonts w:ascii="David" w:hAnsi="David" w:cs="David"/>
          <w:sz w:val="24"/>
          <w:szCs w:val="24"/>
          <w:rtl/>
        </w:rPr>
      </w:pPr>
      <w:r>
        <w:rPr>
          <w:rFonts w:ascii="David" w:hAnsi="David" w:cs="David" w:hint="cs"/>
          <w:sz w:val="24"/>
          <w:szCs w:val="24"/>
          <w:rtl/>
        </w:rPr>
        <w:t>אומדן משקף אי וודאות שהערכתו נשענת על: הניסיון, על הערכת ההנהלה ולעיתים על הערכת מומחים, ולכן קיים קושי גדול יותר בד"כ להשיג ראיות ביקורת מספיקות ונאותות לנושא האומדנים בהשוואה לסעיפים אחרית .</w:t>
      </w:r>
    </w:p>
    <w:p w:rsidR="00FC4924" w:rsidRDefault="00FC4924" w:rsidP="00FC4924">
      <w:pPr>
        <w:tabs>
          <w:tab w:val="left" w:pos="1419"/>
        </w:tabs>
        <w:spacing w:line="360" w:lineRule="auto"/>
        <w:jc w:val="both"/>
        <w:rPr>
          <w:rFonts w:ascii="David" w:hAnsi="David" w:cs="David" w:hint="cs"/>
          <w:b/>
          <w:bCs/>
          <w:sz w:val="24"/>
          <w:szCs w:val="24"/>
          <w:rtl/>
        </w:rPr>
      </w:pPr>
      <w:r>
        <w:rPr>
          <w:rFonts w:ascii="David" w:hAnsi="David" w:cs="David" w:hint="cs"/>
          <w:b/>
          <w:bCs/>
          <w:sz w:val="24"/>
          <w:szCs w:val="24"/>
          <w:rtl/>
        </w:rPr>
        <w:t>דוגמא לביאור בדוכ"ס המתייחס לשימוש באומדנים</w:t>
      </w:r>
    </w:p>
    <w:p w:rsidR="00FC4924" w:rsidRDefault="00FC4924" w:rsidP="00FC4924">
      <w:pPr>
        <w:tabs>
          <w:tab w:val="left" w:pos="1419"/>
        </w:tabs>
        <w:spacing w:line="360" w:lineRule="auto"/>
        <w:jc w:val="both"/>
        <w:rPr>
          <w:rFonts w:ascii="David" w:hAnsi="David" w:cs="David"/>
          <w:sz w:val="24"/>
          <w:szCs w:val="24"/>
          <w:rtl/>
        </w:rPr>
      </w:pPr>
      <w:r w:rsidRPr="00FC4924">
        <w:rPr>
          <w:rFonts w:ascii="David" w:hAnsi="David" w:cs="David" w:hint="cs"/>
          <w:sz w:val="24"/>
          <w:szCs w:val="24"/>
          <w:rtl/>
        </w:rPr>
        <w:t>"</w:t>
      </w:r>
      <w:r>
        <w:rPr>
          <w:rFonts w:ascii="David" w:hAnsi="David" w:cs="David" w:hint="cs"/>
          <w:sz w:val="24"/>
          <w:szCs w:val="24"/>
          <w:rtl/>
        </w:rPr>
        <w:t>כללי חשבונאות מקובל מחייבים את ההנהלה להשתמש באומדנים או בהערכות לגבי עסקאות או עניינים אשר השפעתם הסופית על הדוכ"ס אינה ניתנת לקביעה מדויקת, בעת הכנת הדוכ"ס</w:t>
      </w:r>
      <w:r w:rsidR="00F21C1A">
        <w:rPr>
          <w:rFonts w:ascii="David" w:hAnsi="David" w:cs="David" w:hint="cs"/>
          <w:sz w:val="24"/>
          <w:szCs w:val="24"/>
          <w:rtl/>
        </w:rPr>
        <w:t>. אף שאומדנים או הערכות נעשים לפי מיטב שיקול הדעת, השפעתם הסופית של העסקאות או העניינים האמורים עשויה להיות שונה מהאומדנים או מההערכות שנעשו לגביהם.</w:t>
      </w:r>
      <w:r w:rsidRPr="00FC4924">
        <w:rPr>
          <w:rFonts w:ascii="David" w:hAnsi="David" w:cs="David" w:hint="cs"/>
          <w:sz w:val="24"/>
          <w:szCs w:val="24"/>
          <w:rtl/>
        </w:rPr>
        <w:t>"</w:t>
      </w:r>
    </w:p>
    <w:p w:rsidR="00FC4924" w:rsidRPr="00F21C1A" w:rsidRDefault="00FC4924" w:rsidP="00FC4924">
      <w:pPr>
        <w:tabs>
          <w:tab w:val="left" w:pos="1419"/>
        </w:tabs>
        <w:spacing w:line="360" w:lineRule="auto"/>
        <w:rPr>
          <w:rFonts w:ascii="David" w:hAnsi="David" w:cs="David"/>
          <w:b/>
          <w:bCs/>
          <w:sz w:val="24"/>
          <w:szCs w:val="24"/>
          <w:u w:val="single"/>
          <w:rtl/>
        </w:rPr>
      </w:pPr>
      <w:r w:rsidRPr="00F21C1A">
        <w:rPr>
          <w:rFonts w:ascii="David" w:hAnsi="David" w:cs="David"/>
          <w:b/>
          <w:bCs/>
          <w:sz w:val="24"/>
          <w:szCs w:val="24"/>
          <w:u w:val="single"/>
          <w:rtl/>
        </w:rPr>
        <w:t>סוגי אומדנים:</w:t>
      </w:r>
    </w:p>
    <w:p w:rsidR="00FC4924" w:rsidRPr="00FC4924" w:rsidRDefault="00FC4924" w:rsidP="00F5361C">
      <w:pPr>
        <w:pStyle w:val="a7"/>
        <w:numPr>
          <w:ilvl w:val="0"/>
          <w:numId w:val="9"/>
        </w:numPr>
        <w:tabs>
          <w:tab w:val="left" w:pos="1419"/>
        </w:tabs>
        <w:spacing w:line="360" w:lineRule="auto"/>
        <w:rPr>
          <w:rFonts w:ascii="David" w:hAnsi="David" w:cs="David"/>
          <w:sz w:val="24"/>
          <w:szCs w:val="24"/>
        </w:rPr>
      </w:pPr>
      <w:r w:rsidRPr="00FC4924">
        <w:rPr>
          <w:rFonts w:ascii="David" w:hAnsi="David" w:cs="David"/>
          <w:sz w:val="24"/>
          <w:szCs w:val="24"/>
          <w:rtl/>
        </w:rPr>
        <w:t xml:space="preserve">הפרשה לירידת ערך מלאי חובות מסופקים וכו'. </w:t>
      </w:r>
    </w:p>
    <w:p w:rsidR="00FC4924" w:rsidRPr="00FC4924" w:rsidRDefault="00FC4924" w:rsidP="00F5361C">
      <w:pPr>
        <w:pStyle w:val="a7"/>
        <w:numPr>
          <w:ilvl w:val="0"/>
          <w:numId w:val="9"/>
        </w:numPr>
        <w:tabs>
          <w:tab w:val="left" w:pos="1419"/>
        </w:tabs>
        <w:spacing w:line="360" w:lineRule="auto"/>
        <w:rPr>
          <w:rFonts w:ascii="David" w:hAnsi="David" w:cs="David"/>
          <w:sz w:val="24"/>
          <w:szCs w:val="24"/>
        </w:rPr>
      </w:pPr>
      <w:r w:rsidRPr="00FC4924">
        <w:rPr>
          <w:rFonts w:ascii="David" w:hAnsi="David" w:cs="David"/>
          <w:sz w:val="24"/>
          <w:szCs w:val="24"/>
          <w:rtl/>
        </w:rPr>
        <w:t xml:space="preserve">הפרשות קלאסיות כמו: תביעות משפטיות, אחריות וכו'. </w:t>
      </w:r>
    </w:p>
    <w:p w:rsidR="00FC4924" w:rsidRPr="00FC4924" w:rsidRDefault="00FC4924" w:rsidP="00F5361C">
      <w:pPr>
        <w:pStyle w:val="a7"/>
        <w:numPr>
          <w:ilvl w:val="0"/>
          <w:numId w:val="9"/>
        </w:numPr>
        <w:tabs>
          <w:tab w:val="left" w:pos="1419"/>
        </w:tabs>
        <w:spacing w:line="360" w:lineRule="auto"/>
        <w:rPr>
          <w:rFonts w:ascii="David" w:hAnsi="David" w:cs="David"/>
          <w:sz w:val="24"/>
          <w:szCs w:val="24"/>
        </w:rPr>
      </w:pPr>
      <w:r w:rsidRPr="00FC4924">
        <w:rPr>
          <w:rFonts w:ascii="David" w:hAnsi="David" w:cs="David"/>
          <w:sz w:val="24"/>
          <w:szCs w:val="24"/>
          <w:rtl/>
        </w:rPr>
        <w:t>אומדנים שעל פי  טיבם יהיה צורך להשתמש במומחים.</w:t>
      </w:r>
    </w:p>
    <w:p w:rsidR="00FC4924" w:rsidRPr="00F21C1A" w:rsidRDefault="00FC4924" w:rsidP="00FC4924">
      <w:pPr>
        <w:tabs>
          <w:tab w:val="left" w:pos="1419"/>
        </w:tabs>
        <w:spacing w:line="360" w:lineRule="auto"/>
        <w:rPr>
          <w:rFonts w:ascii="David" w:hAnsi="David" w:cs="David"/>
          <w:b/>
          <w:bCs/>
          <w:sz w:val="24"/>
          <w:szCs w:val="24"/>
          <w:u w:val="single"/>
          <w:rtl/>
        </w:rPr>
      </w:pPr>
      <w:r w:rsidRPr="00F21C1A">
        <w:rPr>
          <w:rFonts w:ascii="David" w:hAnsi="David" w:cs="David"/>
          <w:b/>
          <w:bCs/>
          <w:sz w:val="24"/>
          <w:szCs w:val="24"/>
          <w:u w:val="single"/>
          <w:rtl/>
        </w:rPr>
        <w:t>האחריות לאומדנים:</w:t>
      </w:r>
    </w:p>
    <w:p w:rsidR="00FC4924" w:rsidRPr="00FC4924" w:rsidRDefault="00FC4924" w:rsidP="00FC4924">
      <w:pPr>
        <w:tabs>
          <w:tab w:val="left" w:pos="1419"/>
        </w:tabs>
        <w:spacing w:line="360" w:lineRule="auto"/>
        <w:rPr>
          <w:rFonts w:ascii="David" w:hAnsi="David" w:cs="David"/>
          <w:sz w:val="24"/>
          <w:szCs w:val="24"/>
          <w:rtl/>
        </w:rPr>
      </w:pPr>
      <w:r w:rsidRPr="00FC4924">
        <w:rPr>
          <w:rFonts w:ascii="David" w:hAnsi="David" w:cs="David"/>
          <w:sz w:val="24"/>
          <w:szCs w:val="24"/>
          <w:rtl/>
        </w:rPr>
        <w:t>רואה החשבון עושה הבחנה: האחריות לגבי האומדנים על נאותותם זה ההנהלה והדירקטוריון. אחריות רואה חשבון המבקר זה לבצע ביקורת על האומדנים. כלומר אם החברה לא יצרה אומדן האחריות היא שלה. האחריות של רואה החשבון המבקר זה לבצע ביקורת וההבדל הזה בין שני סוגי האחריות זה הבדל שרץ לאורך כל עבודת הביקורת וזה פער הציפיות.</w:t>
      </w:r>
    </w:p>
    <w:p w:rsidR="00FC4924" w:rsidRPr="00F21C1A" w:rsidRDefault="00FC4924" w:rsidP="00FC4924">
      <w:pPr>
        <w:tabs>
          <w:tab w:val="left" w:pos="1419"/>
        </w:tabs>
        <w:spacing w:line="360" w:lineRule="auto"/>
        <w:rPr>
          <w:rFonts w:ascii="David" w:hAnsi="David" w:cs="David"/>
          <w:b/>
          <w:bCs/>
          <w:sz w:val="24"/>
          <w:szCs w:val="24"/>
          <w:u w:val="single"/>
          <w:rtl/>
        </w:rPr>
      </w:pPr>
      <w:r w:rsidRPr="00F21C1A">
        <w:rPr>
          <w:rFonts w:ascii="David" w:hAnsi="David" w:cs="David"/>
          <w:b/>
          <w:bCs/>
          <w:sz w:val="24"/>
          <w:szCs w:val="24"/>
          <w:u w:val="single"/>
          <w:rtl/>
        </w:rPr>
        <w:t>אופיים של האומדנים בחשבונאות:</w:t>
      </w:r>
    </w:p>
    <w:p w:rsidR="00FC4924" w:rsidRPr="00FC4924" w:rsidRDefault="00FC4924" w:rsidP="00F5361C">
      <w:pPr>
        <w:pStyle w:val="a7"/>
        <w:numPr>
          <w:ilvl w:val="0"/>
          <w:numId w:val="10"/>
        </w:numPr>
        <w:tabs>
          <w:tab w:val="left" w:pos="1419"/>
        </w:tabs>
        <w:spacing w:line="360" w:lineRule="auto"/>
        <w:rPr>
          <w:rFonts w:ascii="David" w:hAnsi="David" w:cs="David"/>
          <w:sz w:val="24"/>
          <w:szCs w:val="24"/>
        </w:rPr>
      </w:pPr>
      <w:r w:rsidRPr="00FC4924">
        <w:rPr>
          <w:rFonts w:ascii="David" w:hAnsi="David" w:cs="David"/>
          <w:sz w:val="24"/>
          <w:szCs w:val="24"/>
          <w:rtl/>
        </w:rPr>
        <w:t xml:space="preserve">מורכב או פשוט. מורכב זה למשל שווי הוגן של נדל"ן להשקעה שזה אומדן יותר מורכב שמלווה בתחזיות. </w:t>
      </w:r>
    </w:p>
    <w:p w:rsidR="00FC4924" w:rsidRPr="00FC4924" w:rsidRDefault="00FC4924" w:rsidP="00F5361C">
      <w:pPr>
        <w:pStyle w:val="a7"/>
        <w:numPr>
          <w:ilvl w:val="0"/>
          <w:numId w:val="10"/>
        </w:numPr>
        <w:tabs>
          <w:tab w:val="left" w:pos="1419"/>
        </w:tabs>
        <w:spacing w:line="360" w:lineRule="auto"/>
        <w:rPr>
          <w:rFonts w:ascii="David" w:hAnsi="David" w:cs="David"/>
          <w:sz w:val="24"/>
          <w:szCs w:val="24"/>
        </w:rPr>
      </w:pPr>
      <w:r w:rsidRPr="00FC4924">
        <w:rPr>
          <w:rFonts w:ascii="David" w:hAnsi="David" w:cs="David"/>
          <w:sz w:val="24"/>
          <w:szCs w:val="24"/>
          <w:rtl/>
        </w:rPr>
        <w:t>למשל פחת זה דרך שגרתית מקובלת (קו יש וכו') ולעומת זאת יש פריטים שלגביהם צריך אומדן לסוף תקופה כמו הפרשה להתחייבות משפטית.</w:t>
      </w:r>
    </w:p>
    <w:p w:rsidR="00FC4924" w:rsidRPr="00FC4924" w:rsidRDefault="00FC4924" w:rsidP="00F5361C">
      <w:pPr>
        <w:pStyle w:val="a7"/>
        <w:numPr>
          <w:ilvl w:val="0"/>
          <w:numId w:val="10"/>
        </w:numPr>
        <w:tabs>
          <w:tab w:val="left" w:pos="1419"/>
        </w:tabs>
        <w:spacing w:line="360" w:lineRule="auto"/>
        <w:rPr>
          <w:rFonts w:ascii="David" w:hAnsi="David" w:cs="David"/>
          <w:sz w:val="24"/>
          <w:szCs w:val="24"/>
        </w:rPr>
      </w:pPr>
      <w:r w:rsidRPr="00FC4924">
        <w:rPr>
          <w:rFonts w:ascii="David" w:hAnsi="David" w:cs="David"/>
          <w:sz w:val="24"/>
          <w:szCs w:val="24"/>
          <w:rtl/>
        </w:rPr>
        <w:t xml:space="preserve">אחד הפחדים הגדולים זה לגבי אומדנים שקשורים לנכסים נטיית הגוף המבוקר זה לנתח את האומדן על מנת להציג נכס כמה שיותר גבוה. להתחייבויות השאיפה היא להערכה בחסר... </w:t>
      </w:r>
    </w:p>
    <w:p w:rsidR="00F21C1A" w:rsidRPr="00F21C1A" w:rsidRDefault="00F21C1A" w:rsidP="00F21C1A">
      <w:pPr>
        <w:tabs>
          <w:tab w:val="left" w:pos="1419"/>
        </w:tabs>
        <w:spacing w:line="360" w:lineRule="auto"/>
        <w:jc w:val="both"/>
        <w:rPr>
          <w:rFonts w:ascii="David" w:hAnsi="David" w:cs="David" w:hint="cs"/>
          <w:b/>
          <w:bCs/>
          <w:sz w:val="24"/>
          <w:szCs w:val="24"/>
          <w:u w:val="single"/>
          <w:rtl/>
        </w:rPr>
      </w:pPr>
      <w:r w:rsidRPr="00F21C1A">
        <w:rPr>
          <w:rFonts w:ascii="David" w:hAnsi="David" w:cs="David" w:hint="cs"/>
          <w:b/>
          <w:bCs/>
          <w:sz w:val="24"/>
          <w:szCs w:val="24"/>
          <w:u w:val="single"/>
          <w:rtl/>
        </w:rPr>
        <w:t>היבט הביקורת</w:t>
      </w:r>
    </w:p>
    <w:p w:rsidR="00F21C1A" w:rsidRDefault="00F21C1A" w:rsidP="00F21C1A">
      <w:pPr>
        <w:tabs>
          <w:tab w:val="left" w:pos="1419"/>
        </w:tabs>
        <w:spacing w:line="360" w:lineRule="auto"/>
        <w:jc w:val="both"/>
        <w:rPr>
          <w:rFonts w:ascii="David" w:hAnsi="David" w:cs="David"/>
          <w:sz w:val="24"/>
          <w:szCs w:val="24"/>
          <w:rtl/>
        </w:rPr>
      </w:pPr>
      <w:r w:rsidRPr="00F21C1A">
        <w:rPr>
          <w:rFonts w:ascii="David" w:hAnsi="David" w:cs="David" w:hint="cs"/>
          <w:sz w:val="24"/>
          <w:szCs w:val="24"/>
          <w:rtl/>
        </w:rPr>
        <w:t>ת"ב 81</w:t>
      </w:r>
      <w:r>
        <w:rPr>
          <w:rFonts w:ascii="David" w:hAnsi="David" w:cs="David" w:hint="cs"/>
          <w:sz w:val="24"/>
          <w:szCs w:val="24"/>
          <w:rtl/>
        </w:rPr>
        <w:t xml:space="preserve"> בדבר אומדנים בחשבונאות כולל בתוכו סוגים רבים של אומדנים כמו:</w:t>
      </w:r>
    </w:p>
    <w:p w:rsidR="00F21C1A" w:rsidRDefault="00F21C1A" w:rsidP="00F5361C">
      <w:pPr>
        <w:pStyle w:val="a7"/>
        <w:numPr>
          <w:ilvl w:val="0"/>
          <w:numId w:val="4"/>
        </w:numPr>
        <w:tabs>
          <w:tab w:val="left" w:pos="1419"/>
        </w:tabs>
        <w:spacing w:line="360" w:lineRule="auto"/>
        <w:jc w:val="both"/>
        <w:rPr>
          <w:rFonts w:ascii="David" w:hAnsi="David" w:cs="David" w:hint="cs"/>
          <w:sz w:val="24"/>
          <w:szCs w:val="24"/>
        </w:rPr>
      </w:pPr>
      <w:r>
        <w:rPr>
          <w:rFonts w:ascii="David" w:hAnsi="David" w:cs="David" w:hint="cs"/>
          <w:sz w:val="24"/>
          <w:szCs w:val="24"/>
          <w:rtl/>
        </w:rPr>
        <w:t>הפרשה לחוזה שגלום בו הפסד</w:t>
      </w:r>
    </w:p>
    <w:p w:rsidR="00F21C1A" w:rsidRDefault="00F21C1A" w:rsidP="00F5361C">
      <w:pPr>
        <w:pStyle w:val="a7"/>
        <w:numPr>
          <w:ilvl w:val="0"/>
          <w:numId w:val="4"/>
        </w:numPr>
        <w:tabs>
          <w:tab w:val="left" w:pos="1419"/>
        </w:tabs>
        <w:spacing w:line="360" w:lineRule="auto"/>
        <w:jc w:val="both"/>
        <w:rPr>
          <w:rFonts w:ascii="David" w:hAnsi="David" w:cs="David" w:hint="cs"/>
          <w:sz w:val="24"/>
          <w:szCs w:val="24"/>
        </w:rPr>
      </w:pPr>
      <w:r>
        <w:rPr>
          <w:rFonts w:ascii="David" w:hAnsi="David" w:cs="David" w:hint="cs"/>
          <w:sz w:val="24"/>
          <w:szCs w:val="24"/>
          <w:rtl/>
        </w:rPr>
        <w:t xml:space="preserve">הפרשה לאחריות </w:t>
      </w:r>
    </w:p>
    <w:p w:rsidR="00F21C1A" w:rsidRDefault="00F21C1A" w:rsidP="00F5361C">
      <w:pPr>
        <w:pStyle w:val="a7"/>
        <w:numPr>
          <w:ilvl w:val="0"/>
          <w:numId w:val="4"/>
        </w:numPr>
        <w:tabs>
          <w:tab w:val="left" w:pos="1419"/>
        </w:tabs>
        <w:spacing w:line="360" w:lineRule="auto"/>
        <w:jc w:val="both"/>
        <w:rPr>
          <w:rFonts w:ascii="David" w:hAnsi="David" w:cs="David" w:hint="cs"/>
          <w:sz w:val="24"/>
          <w:szCs w:val="24"/>
        </w:rPr>
      </w:pPr>
      <w:r>
        <w:rPr>
          <w:rFonts w:ascii="David" w:hAnsi="David" w:cs="David" w:hint="cs"/>
          <w:sz w:val="24"/>
          <w:szCs w:val="24"/>
          <w:rtl/>
        </w:rPr>
        <w:t xml:space="preserve">מיסים </w:t>
      </w:r>
    </w:p>
    <w:p w:rsidR="00F21C1A" w:rsidRDefault="00F21C1A" w:rsidP="00F21C1A">
      <w:pPr>
        <w:pStyle w:val="a7"/>
        <w:tabs>
          <w:tab w:val="left" w:pos="1419"/>
        </w:tabs>
        <w:spacing w:line="360" w:lineRule="auto"/>
        <w:jc w:val="both"/>
        <w:rPr>
          <w:rFonts w:ascii="David" w:hAnsi="David" w:cs="David" w:hint="cs"/>
          <w:sz w:val="24"/>
          <w:szCs w:val="24"/>
          <w:rtl/>
        </w:rPr>
      </w:pPr>
      <w:r>
        <w:rPr>
          <w:rFonts w:ascii="David" w:hAnsi="David" w:cs="David" w:hint="cs"/>
          <w:sz w:val="24"/>
          <w:szCs w:val="24"/>
          <w:rtl/>
        </w:rPr>
        <w:t>ועוד..</w:t>
      </w:r>
    </w:p>
    <w:p w:rsidR="00F21C1A" w:rsidRPr="00F21C1A" w:rsidRDefault="00F21C1A" w:rsidP="00F21C1A">
      <w:pPr>
        <w:tabs>
          <w:tab w:val="left" w:pos="1419"/>
        </w:tabs>
        <w:spacing w:line="360" w:lineRule="auto"/>
        <w:jc w:val="both"/>
        <w:rPr>
          <w:rFonts w:ascii="David" w:hAnsi="David" w:cs="David"/>
          <w:sz w:val="24"/>
          <w:szCs w:val="24"/>
          <w:rtl/>
        </w:rPr>
      </w:pPr>
      <w:r>
        <w:rPr>
          <w:rFonts w:ascii="David" w:hAnsi="David" w:cs="David" w:hint="cs"/>
          <w:sz w:val="24"/>
          <w:szCs w:val="24"/>
          <w:rtl/>
        </w:rPr>
        <w:lastRenderedPageBreak/>
        <w:t>שוו"ה הוא גם סוג של אומדן ולכן בביקורתו יש מקום להסתמך על ת"ב 81 אולם ת"ב 97 מספק הנחיות ספציפיות למדידתו.</w:t>
      </w:r>
    </w:p>
    <w:p w:rsidR="00FC4924" w:rsidRDefault="00F21C1A" w:rsidP="00F21C1A">
      <w:pPr>
        <w:tabs>
          <w:tab w:val="left" w:pos="1419"/>
        </w:tabs>
        <w:spacing w:line="360" w:lineRule="auto"/>
        <w:jc w:val="both"/>
        <w:rPr>
          <w:rFonts w:ascii="David" w:hAnsi="David" w:cs="David"/>
          <w:sz w:val="24"/>
          <w:szCs w:val="24"/>
          <w:rtl/>
        </w:rPr>
      </w:pPr>
      <w:r>
        <w:rPr>
          <w:rFonts w:ascii="David" w:hAnsi="David" w:cs="David" w:hint="cs"/>
          <w:b/>
          <w:bCs/>
          <w:sz w:val="24"/>
          <w:szCs w:val="24"/>
          <w:rtl/>
        </w:rPr>
        <w:t xml:space="preserve">סעיף 11: </w:t>
      </w:r>
      <w:r w:rsidR="00FC4924" w:rsidRPr="00FC4924">
        <w:rPr>
          <w:rFonts w:ascii="David" w:hAnsi="David" w:cs="David"/>
          <w:sz w:val="24"/>
          <w:szCs w:val="24"/>
          <w:rtl/>
        </w:rPr>
        <w:t xml:space="preserve">תקן ביקורת 81  נותן שלושה נהלים </w:t>
      </w:r>
      <w:r>
        <w:rPr>
          <w:rFonts w:ascii="David" w:hAnsi="David" w:cs="David" w:hint="cs"/>
          <w:sz w:val="24"/>
          <w:szCs w:val="24"/>
          <w:rtl/>
        </w:rPr>
        <w:t>חלופיים שעל רו"ח לנקוט בביקורת אומדנים :</w:t>
      </w:r>
    </w:p>
    <w:p w:rsidR="00F21C1A" w:rsidRDefault="00F21C1A" w:rsidP="00F5361C">
      <w:pPr>
        <w:pStyle w:val="a7"/>
        <w:numPr>
          <w:ilvl w:val="0"/>
          <w:numId w:val="11"/>
        </w:numPr>
        <w:tabs>
          <w:tab w:val="left" w:pos="1419"/>
        </w:tabs>
        <w:spacing w:line="360" w:lineRule="auto"/>
        <w:jc w:val="both"/>
        <w:rPr>
          <w:rFonts w:ascii="David" w:hAnsi="David" w:cs="David"/>
          <w:sz w:val="24"/>
          <w:szCs w:val="24"/>
        </w:rPr>
      </w:pPr>
      <w:r>
        <w:rPr>
          <w:rFonts w:ascii="David" w:hAnsi="David" w:cs="David" w:hint="cs"/>
          <w:sz w:val="24"/>
          <w:szCs w:val="24"/>
          <w:rtl/>
        </w:rPr>
        <w:t>סקירה של התהליך ע"י ההנהלה- כלומר, הערכת האומדנים ובחינת ההערכות ששימשו לחישוב האומדן, השוואה לתקופות קודמות ובחינת תהליך האישור ע"י ההנהלה.</w:t>
      </w:r>
    </w:p>
    <w:p w:rsidR="00F21C1A" w:rsidRPr="00F21C1A" w:rsidRDefault="00F21C1A" w:rsidP="00F5361C">
      <w:pPr>
        <w:pStyle w:val="a7"/>
        <w:numPr>
          <w:ilvl w:val="0"/>
          <w:numId w:val="11"/>
        </w:numPr>
        <w:tabs>
          <w:tab w:val="left" w:pos="1419"/>
        </w:tabs>
        <w:spacing w:line="360" w:lineRule="auto"/>
        <w:jc w:val="both"/>
        <w:rPr>
          <w:rFonts w:ascii="David" w:hAnsi="David" w:cs="David"/>
          <w:sz w:val="24"/>
          <w:szCs w:val="24"/>
        </w:rPr>
      </w:pPr>
      <w:r w:rsidRPr="00F21C1A">
        <w:rPr>
          <w:rFonts w:ascii="David" w:hAnsi="David" w:cs="David"/>
          <w:sz w:val="24"/>
          <w:szCs w:val="24"/>
          <w:rtl/>
        </w:rPr>
        <w:t>יותר קשה ליישום. סעיף 23 דן בזה שההנחה היא שרואה החשבון יכול להכין או להסתייע באומדן</w:t>
      </w:r>
      <w:r w:rsidRPr="00F21C1A">
        <w:rPr>
          <w:rFonts w:ascii="David" w:hAnsi="David" w:cs="David" w:hint="cs"/>
          <w:sz w:val="24"/>
          <w:szCs w:val="24"/>
          <w:rtl/>
        </w:rPr>
        <w:t xml:space="preserve"> בלתי תלוי לצורכי השוואה למשל: נתון ענפי</w:t>
      </w:r>
      <w:r>
        <w:rPr>
          <w:rFonts w:ascii="David" w:hAnsi="David" w:cs="David" w:hint="cs"/>
          <w:sz w:val="24"/>
          <w:szCs w:val="24"/>
          <w:rtl/>
        </w:rPr>
        <w:t>.</w:t>
      </w:r>
      <w:r w:rsidRPr="00F21C1A">
        <w:rPr>
          <w:rFonts w:ascii="David" w:hAnsi="David" w:cs="David"/>
          <w:sz w:val="24"/>
          <w:szCs w:val="24"/>
          <w:rtl/>
        </w:rPr>
        <w:t xml:space="preserve"> </w:t>
      </w:r>
    </w:p>
    <w:p w:rsidR="00F21C1A" w:rsidRDefault="00F21C1A" w:rsidP="00F5361C">
      <w:pPr>
        <w:pStyle w:val="a7"/>
        <w:numPr>
          <w:ilvl w:val="0"/>
          <w:numId w:val="11"/>
        </w:numPr>
        <w:tabs>
          <w:tab w:val="left" w:pos="1419"/>
        </w:tabs>
        <w:spacing w:line="360" w:lineRule="auto"/>
        <w:jc w:val="both"/>
        <w:rPr>
          <w:rFonts w:ascii="David" w:hAnsi="David" w:cs="David"/>
          <w:sz w:val="24"/>
          <w:szCs w:val="24"/>
        </w:rPr>
      </w:pPr>
      <w:r w:rsidRPr="00F21C1A">
        <w:rPr>
          <w:rFonts w:ascii="David" w:hAnsi="David" w:cs="David"/>
          <w:sz w:val="24"/>
          <w:szCs w:val="24"/>
          <w:rtl/>
        </w:rPr>
        <w:t>סקירה של אירועים שהתרחשו לאחר תאריך המאזן</w:t>
      </w:r>
      <w:r w:rsidRPr="00F21C1A">
        <w:rPr>
          <w:rFonts w:ascii="David" w:hAnsi="David" w:cs="David" w:hint="cs"/>
          <w:sz w:val="24"/>
          <w:szCs w:val="24"/>
          <w:rtl/>
        </w:rPr>
        <w:t xml:space="preserve">- לעיתים נוהל זה יכול להיות היעיל </w:t>
      </w:r>
    </w:p>
    <w:p w:rsidR="00F21C1A" w:rsidRPr="00F21C1A" w:rsidRDefault="00F21C1A" w:rsidP="00F21C1A">
      <w:pPr>
        <w:pStyle w:val="a7"/>
        <w:tabs>
          <w:tab w:val="left" w:pos="1419"/>
        </w:tabs>
        <w:spacing w:line="360" w:lineRule="auto"/>
        <w:jc w:val="both"/>
        <w:rPr>
          <w:rFonts w:ascii="David" w:hAnsi="David" w:cs="David"/>
          <w:sz w:val="24"/>
          <w:szCs w:val="24"/>
          <w:rtl/>
        </w:rPr>
      </w:pPr>
      <w:r w:rsidRPr="00F21C1A">
        <w:rPr>
          <w:rFonts w:ascii="David" w:hAnsi="David" w:cs="David" w:hint="cs"/>
          <w:sz w:val="24"/>
          <w:szCs w:val="24"/>
          <w:rtl/>
        </w:rPr>
        <w:t>ביותר בביקורת</w:t>
      </w:r>
      <w:r w:rsidRPr="00F21C1A">
        <w:rPr>
          <w:rFonts w:ascii="David" w:hAnsi="David" w:cs="David"/>
          <w:sz w:val="24"/>
          <w:szCs w:val="24"/>
          <w:rtl/>
        </w:rPr>
        <w:t xml:space="preserve"> כדי לבחון האם האומדן התממש או לא. זה נוהל שבדרך כלל נעשה.</w:t>
      </w:r>
    </w:p>
    <w:p w:rsidR="00F21C1A" w:rsidRDefault="00F21C1A" w:rsidP="00F21C1A">
      <w:pPr>
        <w:tabs>
          <w:tab w:val="left" w:pos="1419"/>
        </w:tabs>
        <w:spacing w:line="360" w:lineRule="auto"/>
        <w:jc w:val="both"/>
        <w:rPr>
          <w:rFonts w:ascii="David" w:hAnsi="David" w:cs="David"/>
          <w:sz w:val="24"/>
          <w:szCs w:val="24"/>
          <w:rtl/>
        </w:rPr>
      </w:pPr>
      <w:r>
        <w:rPr>
          <w:rFonts w:ascii="David" w:hAnsi="David" w:cs="David" w:hint="cs"/>
          <w:sz w:val="24"/>
          <w:szCs w:val="24"/>
          <w:rtl/>
        </w:rPr>
        <w:t>אם נחה דעתו של רו"ח המבקר באשר לביקורת האומדנים ייתן חוו"ד בנוסח האחיד ת"ב 108 ואם לא נחה דעתו למשל: שההפרש הוא מהותי או שלא התקבל המידע המבוקש ינהג המבקר בהתאם לת"ב 72</w:t>
      </w:r>
    </w:p>
    <w:p w:rsidR="00F21C1A" w:rsidRDefault="00F21C1A" w:rsidP="00FC4924">
      <w:pPr>
        <w:tabs>
          <w:tab w:val="left" w:pos="1419"/>
        </w:tabs>
        <w:spacing w:line="360" w:lineRule="auto"/>
        <w:rPr>
          <w:rFonts w:ascii="David" w:hAnsi="David" w:cs="David"/>
          <w:sz w:val="24"/>
          <w:szCs w:val="24"/>
          <w:rtl/>
        </w:rPr>
      </w:pPr>
    </w:p>
    <w:p w:rsidR="00FC4924" w:rsidRDefault="00FC4924" w:rsidP="00FC4924">
      <w:pPr>
        <w:tabs>
          <w:tab w:val="left" w:pos="1419"/>
        </w:tabs>
        <w:spacing w:line="360" w:lineRule="auto"/>
        <w:rPr>
          <w:rFonts w:ascii="David" w:hAnsi="David" w:cs="David"/>
          <w:b/>
          <w:bCs/>
          <w:sz w:val="24"/>
          <w:szCs w:val="24"/>
          <w:u w:val="single"/>
          <w:rtl/>
        </w:rPr>
      </w:pPr>
      <w:r w:rsidRPr="00F21C1A">
        <w:rPr>
          <w:rFonts w:ascii="David" w:hAnsi="David" w:cs="David"/>
          <w:b/>
          <w:bCs/>
          <w:sz w:val="24"/>
          <w:szCs w:val="24"/>
          <w:u w:val="single"/>
          <w:rtl/>
        </w:rPr>
        <w:t xml:space="preserve">אומדנים חשבונאיים קריטיים: </w:t>
      </w:r>
    </w:p>
    <w:p w:rsidR="00F21C1A" w:rsidRDefault="00F21C1A" w:rsidP="00F21C1A">
      <w:pPr>
        <w:tabs>
          <w:tab w:val="left" w:pos="1419"/>
        </w:tabs>
        <w:spacing w:line="360" w:lineRule="auto"/>
        <w:jc w:val="both"/>
        <w:rPr>
          <w:rFonts w:ascii="David" w:hAnsi="David" w:cs="David"/>
          <w:sz w:val="24"/>
          <w:szCs w:val="24"/>
          <w:rtl/>
        </w:rPr>
      </w:pPr>
      <w:r w:rsidRPr="00F21C1A">
        <w:rPr>
          <w:rFonts w:ascii="David" w:hAnsi="David" w:cs="David" w:hint="cs"/>
          <w:sz w:val="24"/>
          <w:szCs w:val="24"/>
          <w:rtl/>
        </w:rPr>
        <w:t>כל חברה מדווחת חייבת לכלול בדו"ח הדירקטוריון מידע שיזהה ויתאר</w:t>
      </w:r>
      <w:r>
        <w:rPr>
          <w:rFonts w:ascii="David" w:hAnsi="David" w:cs="David" w:hint="cs"/>
          <w:sz w:val="24"/>
          <w:szCs w:val="24"/>
          <w:rtl/>
        </w:rPr>
        <w:t xml:space="preserve"> אומדנים חשבונאיים קריטיים שבהם נעשה שימוש, וכן דיון כמותי ואיכותי והשלכות השימוש באומדן הקריטי על תוצאות פעולותיה ועל מצבה הכספי. </w:t>
      </w:r>
      <w:r w:rsidRPr="00F21C1A">
        <w:rPr>
          <w:rFonts w:ascii="David" w:hAnsi="David" w:cs="David" w:hint="cs"/>
          <w:sz w:val="24"/>
          <w:szCs w:val="24"/>
          <w:rtl/>
        </w:rPr>
        <w:t xml:space="preserve"> </w:t>
      </w:r>
    </w:p>
    <w:p w:rsidR="00F21C1A" w:rsidRPr="00F21C1A" w:rsidRDefault="00F21C1A" w:rsidP="00F21C1A">
      <w:pPr>
        <w:tabs>
          <w:tab w:val="left" w:pos="1419"/>
        </w:tabs>
        <w:spacing w:line="360" w:lineRule="auto"/>
        <w:jc w:val="both"/>
        <w:rPr>
          <w:rFonts w:ascii="David" w:hAnsi="David" w:cs="David"/>
          <w:sz w:val="24"/>
          <w:szCs w:val="24"/>
          <w:rtl/>
        </w:rPr>
      </w:pPr>
      <w:r>
        <w:rPr>
          <w:rFonts w:ascii="David" w:hAnsi="David" w:cs="David" w:hint="cs"/>
          <w:sz w:val="24"/>
          <w:szCs w:val="24"/>
          <w:rtl/>
        </w:rPr>
        <w:t>אומדן חשבונאי קריטי- אינו רלוונטי לחברה פרטית</w:t>
      </w:r>
    </w:p>
    <w:p w:rsidR="00F21C1A" w:rsidRDefault="00F21C1A" w:rsidP="00FC4924">
      <w:pPr>
        <w:tabs>
          <w:tab w:val="left" w:pos="1419"/>
        </w:tabs>
        <w:spacing w:line="360" w:lineRule="auto"/>
        <w:rPr>
          <w:rFonts w:ascii="David" w:hAnsi="David" w:cs="David"/>
          <w:sz w:val="24"/>
          <w:szCs w:val="24"/>
          <w:rtl/>
        </w:rPr>
      </w:pPr>
      <w:r w:rsidRPr="00F21C1A">
        <w:rPr>
          <w:rFonts w:ascii="David" w:hAnsi="David" w:cs="David" w:hint="cs"/>
          <w:b/>
          <w:bCs/>
          <w:sz w:val="24"/>
          <w:szCs w:val="24"/>
          <w:rtl/>
        </w:rPr>
        <w:t>"</w:t>
      </w:r>
      <w:r>
        <w:rPr>
          <w:rFonts w:ascii="David" w:hAnsi="David" w:cs="David" w:hint="cs"/>
          <w:b/>
          <w:bCs/>
          <w:sz w:val="24"/>
          <w:szCs w:val="24"/>
          <w:rtl/>
        </w:rPr>
        <w:t>אומדן חשבונאי קריטי</w:t>
      </w:r>
      <w:r w:rsidRPr="00F21C1A">
        <w:rPr>
          <w:rFonts w:ascii="David" w:hAnsi="David" w:cs="David" w:hint="cs"/>
          <w:b/>
          <w:bCs/>
          <w:sz w:val="24"/>
          <w:szCs w:val="24"/>
          <w:rtl/>
        </w:rPr>
        <w:t>"</w:t>
      </w:r>
      <w:r>
        <w:rPr>
          <w:rFonts w:ascii="David" w:hAnsi="David" w:cs="David" w:hint="cs"/>
          <w:b/>
          <w:bCs/>
          <w:sz w:val="24"/>
          <w:szCs w:val="24"/>
          <w:rtl/>
        </w:rPr>
        <w:t xml:space="preserve">- </w:t>
      </w:r>
      <w:r>
        <w:rPr>
          <w:rFonts w:ascii="David" w:hAnsi="David" w:cs="David" w:hint="cs"/>
          <w:sz w:val="24"/>
          <w:szCs w:val="24"/>
          <w:rtl/>
        </w:rPr>
        <w:t>אומדן שהתקיימו לגביו שני התנאים הבאים:</w:t>
      </w:r>
    </w:p>
    <w:p w:rsidR="00643DF1" w:rsidRDefault="00F21C1A" w:rsidP="00F5361C">
      <w:pPr>
        <w:pStyle w:val="a7"/>
        <w:numPr>
          <w:ilvl w:val="0"/>
          <w:numId w:val="12"/>
        </w:numPr>
        <w:tabs>
          <w:tab w:val="left" w:pos="1419"/>
        </w:tabs>
        <w:spacing w:line="360" w:lineRule="auto"/>
        <w:jc w:val="both"/>
        <w:rPr>
          <w:rFonts w:ascii="David" w:hAnsi="David" w:cs="David"/>
          <w:sz w:val="24"/>
          <w:szCs w:val="24"/>
        </w:rPr>
      </w:pPr>
      <w:r>
        <w:rPr>
          <w:rFonts w:ascii="David" w:hAnsi="David" w:cs="David" w:hint="cs"/>
          <w:sz w:val="24"/>
          <w:szCs w:val="24"/>
          <w:rtl/>
        </w:rPr>
        <w:t xml:space="preserve">שינוי סביר בו לרבות שינוי באומדן חלופי </w:t>
      </w:r>
      <w:r>
        <w:rPr>
          <w:rFonts w:ascii="David" w:hAnsi="David" w:cs="David"/>
          <w:sz w:val="24"/>
          <w:szCs w:val="24"/>
          <w:rtl/>
        </w:rPr>
        <w:t>–</w:t>
      </w:r>
      <w:r>
        <w:rPr>
          <w:rFonts w:ascii="David" w:hAnsi="David" w:cs="David" w:hint="cs"/>
          <w:sz w:val="24"/>
          <w:szCs w:val="24"/>
          <w:rtl/>
        </w:rPr>
        <w:t xml:space="preserve"> עשוי להיות בעל השפעה מהותית על מצבה הפיננסי של החברה או על תוצאות פעולותיה. </w:t>
      </w:r>
    </w:p>
    <w:p w:rsidR="00F21C1A" w:rsidRDefault="00F21C1A" w:rsidP="00F5361C">
      <w:pPr>
        <w:pStyle w:val="a7"/>
        <w:numPr>
          <w:ilvl w:val="0"/>
          <w:numId w:val="12"/>
        </w:numPr>
        <w:tabs>
          <w:tab w:val="left" w:pos="1419"/>
        </w:tabs>
        <w:spacing w:line="360" w:lineRule="auto"/>
        <w:jc w:val="both"/>
        <w:rPr>
          <w:rFonts w:ascii="David" w:hAnsi="David" w:cs="David"/>
          <w:sz w:val="24"/>
          <w:szCs w:val="24"/>
        </w:rPr>
      </w:pPr>
      <w:r>
        <w:rPr>
          <w:rFonts w:ascii="David" w:hAnsi="David" w:cs="David" w:hint="cs"/>
          <w:sz w:val="24"/>
          <w:szCs w:val="24"/>
          <w:rtl/>
        </w:rPr>
        <w:t xml:space="preserve">האומדן נובע מאירועים הכרוכים באי וודאות מהותית. </w:t>
      </w:r>
    </w:p>
    <w:p w:rsidR="008075FD" w:rsidRDefault="008075FD" w:rsidP="008075FD">
      <w:pPr>
        <w:tabs>
          <w:tab w:val="left" w:pos="1419"/>
        </w:tabs>
        <w:spacing w:line="360" w:lineRule="auto"/>
        <w:ind w:left="360"/>
        <w:jc w:val="both"/>
        <w:rPr>
          <w:rFonts w:ascii="David" w:hAnsi="David" w:cs="David"/>
          <w:sz w:val="24"/>
          <w:szCs w:val="24"/>
          <w:rtl/>
        </w:rPr>
      </w:pPr>
      <w:r>
        <w:rPr>
          <w:rFonts w:ascii="David" w:hAnsi="David" w:cs="David" w:hint="cs"/>
          <w:sz w:val="24"/>
          <w:szCs w:val="24"/>
          <w:rtl/>
        </w:rPr>
        <w:t>בהתאם לתקנות ני"ע נדרשת חברה ציבורית לכלול בדו"ח הדירקטוריון את תיאור אומדנים החשבונאיים הקריטיים, את המתודולוגיה ששימשה לקביעתם וההנחות ששימשו בבסיס קביעתם. כמו"כ נדרשת חברה לכלול בדו"ח דיון איכותי באשר להשפעת האומדנים החשבונאיים הקריטיים על הדוכ"ס, ניתוחי רגישות שנעשו לאומדנים ודיון בשינויים שנעשו באומדנים בשלוש השנים האחרונות .</w:t>
      </w:r>
    </w:p>
    <w:p w:rsidR="008075FD" w:rsidRDefault="008075FD" w:rsidP="008075FD">
      <w:pPr>
        <w:tabs>
          <w:tab w:val="left" w:pos="1419"/>
        </w:tabs>
        <w:spacing w:line="360" w:lineRule="auto"/>
        <w:ind w:left="360"/>
        <w:jc w:val="both"/>
        <w:rPr>
          <w:rFonts w:ascii="David" w:hAnsi="David" w:cs="David"/>
          <w:sz w:val="24"/>
          <w:szCs w:val="24"/>
          <w:rtl/>
        </w:rPr>
      </w:pPr>
      <w:r>
        <w:rPr>
          <w:rFonts w:ascii="David" w:hAnsi="David" w:cs="David" w:hint="cs"/>
          <w:sz w:val="24"/>
          <w:szCs w:val="24"/>
          <w:rtl/>
        </w:rPr>
        <w:t>ההתייחסות לאומדנים חשבונאיים קריטיים היא לא חלק מתקן ביקורת 81 אלא היא נקשרת לת"ב 75 והחובה שמוטלת על רו"ח המבקר לפי ת"ב 75 היא לקרוא את המידע האחר (לעניין זה בדו"ח הדירקטוריון על האומדנים החשבונאים הקריטיים) לא ניתן לוותר על ביקורת אומדנים רגילים לפי ת"ב 81 ולבק</w:t>
      </w:r>
      <w:r w:rsidR="008E5973">
        <w:rPr>
          <w:rFonts w:ascii="David" w:hAnsi="David" w:cs="David" w:hint="cs"/>
          <w:sz w:val="24"/>
          <w:szCs w:val="24"/>
          <w:rtl/>
        </w:rPr>
        <w:t>ש</w:t>
      </w:r>
      <w:r>
        <w:rPr>
          <w:rFonts w:ascii="David" w:hAnsi="David" w:cs="David" w:hint="cs"/>
          <w:sz w:val="24"/>
          <w:szCs w:val="24"/>
          <w:rtl/>
        </w:rPr>
        <w:t xml:space="preserve"> במקומם אומדנים חשבונאיים קריטיים בדו"ח הדירקטוריון כיוון שיש לבצע את הביקורת על המידע הנכלל בדוכ"ס שאלה האומדנים הרגילים ולכן כלל לא ניתן לוותר על יישום ת"ב 81.</w:t>
      </w:r>
    </w:p>
    <w:p w:rsidR="008E5973" w:rsidRDefault="008E5973" w:rsidP="008075FD">
      <w:pPr>
        <w:tabs>
          <w:tab w:val="left" w:pos="1419"/>
        </w:tabs>
        <w:spacing w:line="360" w:lineRule="auto"/>
        <w:ind w:left="360"/>
        <w:jc w:val="both"/>
        <w:rPr>
          <w:rFonts w:ascii="David" w:hAnsi="David" w:cs="David"/>
          <w:b/>
          <w:bCs/>
          <w:color w:val="00B050"/>
          <w:sz w:val="28"/>
          <w:szCs w:val="28"/>
          <w:u w:val="single"/>
          <w:rtl/>
        </w:rPr>
      </w:pPr>
      <w:r w:rsidRPr="008E5973">
        <w:rPr>
          <w:rFonts w:ascii="David" w:hAnsi="David" w:cs="David" w:hint="cs"/>
          <w:b/>
          <w:bCs/>
          <w:color w:val="00B050"/>
          <w:sz w:val="28"/>
          <w:szCs w:val="28"/>
          <w:u w:val="single"/>
          <w:rtl/>
        </w:rPr>
        <w:lastRenderedPageBreak/>
        <w:t xml:space="preserve">מדידה לפי שוו"ה </w:t>
      </w:r>
      <w:r w:rsidRPr="008E5973">
        <w:rPr>
          <w:rFonts w:ascii="David" w:hAnsi="David" w:cs="David"/>
          <w:b/>
          <w:bCs/>
          <w:color w:val="00B050"/>
          <w:sz w:val="28"/>
          <w:szCs w:val="28"/>
          <w:u w:val="single"/>
          <w:rtl/>
        </w:rPr>
        <w:t>–</w:t>
      </w:r>
      <w:r w:rsidRPr="008E5973">
        <w:rPr>
          <w:rFonts w:ascii="David" w:hAnsi="David" w:cs="David" w:hint="cs"/>
          <w:b/>
          <w:bCs/>
          <w:color w:val="00B050"/>
          <w:sz w:val="28"/>
          <w:szCs w:val="28"/>
          <w:u w:val="single"/>
          <w:rtl/>
        </w:rPr>
        <w:t xml:space="preserve"> ת"ב 97</w:t>
      </w:r>
    </w:p>
    <w:tbl>
      <w:tblPr>
        <w:tblStyle w:val="ab"/>
        <w:bidiVisual/>
        <w:tblW w:w="0" w:type="auto"/>
        <w:tblInd w:w="360" w:type="dxa"/>
        <w:tblLook w:val="04A0" w:firstRow="1" w:lastRow="0" w:firstColumn="1" w:lastColumn="0" w:noHBand="0" w:noVBand="1"/>
      </w:tblPr>
      <w:tblGrid>
        <w:gridCol w:w="1837"/>
        <w:gridCol w:w="5624"/>
      </w:tblGrid>
      <w:tr w:rsidR="00D10708" w:rsidTr="00D10708">
        <w:tc>
          <w:tcPr>
            <w:tcW w:w="0" w:type="auto"/>
            <w:vAlign w:val="center"/>
          </w:tcPr>
          <w:p w:rsidR="00D10708" w:rsidRPr="00D10708" w:rsidRDefault="00D10708" w:rsidP="00D10708">
            <w:pPr>
              <w:tabs>
                <w:tab w:val="left" w:pos="1419"/>
              </w:tabs>
              <w:spacing w:line="360" w:lineRule="auto"/>
              <w:rPr>
                <w:rFonts w:ascii="David" w:hAnsi="David" w:cs="David" w:hint="cs"/>
                <w:b/>
                <w:bCs/>
                <w:sz w:val="24"/>
                <w:szCs w:val="24"/>
                <w:u w:val="single"/>
                <w:rtl/>
              </w:rPr>
            </w:pPr>
            <w:r>
              <w:rPr>
                <w:rFonts w:ascii="David" w:hAnsi="David" w:cs="David" w:hint="cs"/>
                <w:b/>
                <w:bCs/>
                <w:sz w:val="24"/>
                <w:szCs w:val="24"/>
                <w:u w:val="single"/>
                <w:rtl/>
              </w:rPr>
              <w:t>היבט חשבונאות</w:t>
            </w:r>
          </w:p>
        </w:tc>
        <w:tc>
          <w:tcPr>
            <w:tcW w:w="0" w:type="auto"/>
            <w:vAlign w:val="center"/>
          </w:tcPr>
          <w:p w:rsidR="00D10708" w:rsidRPr="00D10708" w:rsidRDefault="00D10708" w:rsidP="00D10708">
            <w:pPr>
              <w:tabs>
                <w:tab w:val="left" w:pos="1419"/>
              </w:tabs>
              <w:spacing w:line="360" w:lineRule="auto"/>
              <w:rPr>
                <w:rFonts w:ascii="David" w:hAnsi="David" w:cs="David" w:hint="cs"/>
                <w:b/>
                <w:bCs/>
                <w:sz w:val="24"/>
                <w:szCs w:val="24"/>
                <w:u w:val="single"/>
                <w:rtl/>
              </w:rPr>
            </w:pPr>
            <w:r>
              <w:rPr>
                <w:rFonts w:ascii="David" w:hAnsi="David" w:cs="David" w:hint="cs"/>
                <w:b/>
                <w:bCs/>
                <w:sz w:val="24"/>
                <w:szCs w:val="24"/>
                <w:u w:val="single"/>
                <w:rtl/>
              </w:rPr>
              <w:t xml:space="preserve">היבט ביקורת </w:t>
            </w:r>
          </w:p>
        </w:tc>
      </w:tr>
      <w:tr w:rsidR="00D10708" w:rsidTr="00D10708">
        <w:tc>
          <w:tcPr>
            <w:tcW w:w="0" w:type="auto"/>
            <w:vAlign w:val="center"/>
          </w:tcPr>
          <w:p w:rsidR="00D10708" w:rsidRPr="00D10708" w:rsidRDefault="00D10708" w:rsidP="00D10708">
            <w:pPr>
              <w:tabs>
                <w:tab w:val="left" w:pos="1419"/>
              </w:tabs>
              <w:rPr>
                <w:rFonts w:ascii="David" w:hAnsi="David" w:cs="David"/>
                <w:sz w:val="24"/>
                <w:szCs w:val="24"/>
                <w:rtl/>
              </w:rPr>
            </w:pPr>
            <w:r w:rsidRPr="00D10708">
              <w:rPr>
                <w:rFonts w:ascii="David" w:hAnsi="David" w:cs="David" w:hint="cs"/>
                <w:sz w:val="24"/>
                <w:szCs w:val="24"/>
                <w:rtl/>
              </w:rPr>
              <w:t xml:space="preserve">מדידת פריטים לפי </w:t>
            </w:r>
          </w:p>
          <w:p w:rsidR="00D10708" w:rsidRPr="00D10708" w:rsidRDefault="00D10708" w:rsidP="00D10708">
            <w:pPr>
              <w:tabs>
                <w:tab w:val="left" w:pos="1419"/>
              </w:tabs>
              <w:rPr>
                <w:rFonts w:ascii="David" w:hAnsi="David" w:cs="David" w:hint="cs"/>
                <w:b/>
                <w:bCs/>
                <w:sz w:val="24"/>
                <w:szCs w:val="24"/>
                <w:u w:val="single"/>
                <w:rtl/>
              </w:rPr>
            </w:pPr>
            <w:r w:rsidRPr="00D10708">
              <w:rPr>
                <w:rFonts w:ascii="David" w:hAnsi="David" w:cs="David" w:hint="cs"/>
                <w:sz w:val="24"/>
                <w:szCs w:val="24"/>
                <w:rtl/>
              </w:rPr>
              <w:t>שוו"ה</w:t>
            </w:r>
          </w:p>
        </w:tc>
        <w:tc>
          <w:tcPr>
            <w:tcW w:w="0" w:type="auto"/>
            <w:vAlign w:val="center"/>
          </w:tcPr>
          <w:p w:rsidR="00D10708" w:rsidRDefault="00D10708" w:rsidP="00F5361C">
            <w:pPr>
              <w:pStyle w:val="a7"/>
              <w:numPr>
                <w:ilvl w:val="0"/>
                <w:numId w:val="13"/>
              </w:numPr>
              <w:tabs>
                <w:tab w:val="left" w:pos="1419"/>
              </w:tabs>
              <w:spacing w:line="360" w:lineRule="auto"/>
              <w:rPr>
                <w:rFonts w:ascii="David" w:hAnsi="David" w:cs="David"/>
                <w:sz w:val="24"/>
                <w:szCs w:val="24"/>
              </w:rPr>
            </w:pPr>
            <w:r w:rsidRPr="00D10708">
              <w:rPr>
                <w:rFonts w:ascii="David" w:hAnsi="David" w:cs="David" w:hint="cs"/>
                <w:sz w:val="24"/>
                <w:szCs w:val="24"/>
                <w:rtl/>
              </w:rPr>
              <w:t>ת"ב 97</w:t>
            </w:r>
          </w:p>
          <w:p w:rsidR="00D10708" w:rsidRDefault="00D10708" w:rsidP="00F5361C">
            <w:pPr>
              <w:pStyle w:val="a7"/>
              <w:numPr>
                <w:ilvl w:val="0"/>
                <w:numId w:val="13"/>
              </w:numPr>
              <w:tabs>
                <w:tab w:val="left" w:pos="1419"/>
              </w:tabs>
              <w:spacing w:line="360" w:lineRule="auto"/>
              <w:rPr>
                <w:rFonts w:ascii="David" w:hAnsi="David" w:cs="David" w:hint="cs"/>
                <w:sz w:val="24"/>
                <w:szCs w:val="24"/>
              </w:rPr>
            </w:pPr>
            <w:r>
              <w:rPr>
                <w:rFonts w:ascii="David" w:hAnsi="David" w:cs="David" w:hint="cs"/>
                <w:sz w:val="24"/>
                <w:szCs w:val="24"/>
                <w:rtl/>
              </w:rPr>
              <w:t>מאמר בנושא ביקורת נגזרים פיננסים</w:t>
            </w:r>
          </w:p>
          <w:p w:rsidR="00D10708" w:rsidRPr="00D10708" w:rsidRDefault="00D10708" w:rsidP="00F5361C">
            <w:pPr>
              <w:pStyle w:val="a7"/>
              <w:numPr>
                <w:ilvl w:val="0"/>
                <w:numId w:val="13"/>
              </w:numPr>
              <w:tabs>
                <w:tab w:val="left" w:pos="1419"/>
              </w:tabs>
              <w:spacing w:line="360" w:lineRule="auto"/>
              <w:rPr>
                <w:rFonts w:ascii="David" w:hAnsi="David" w:cs="David" w:hint="cs"/>
                <w:sz w:val="24"/>
                <w:szCs w:val="24"/>
                <w:rtl/>
              </w:rPr>
            </w:pPr>
            <w:r>
              <w:rPr>
                <w:rFonts w:ascii="David" w:hAnsi="David" w:cs="David" w:hint="cs"/>
                <w:sz w:val="24"/>
                <w:szCs w:val="24"/>
                <w:rtl/>
              </w:rPr>
              <w:t>שאלות ממבחני מועצה חורף 2007 וחורף 2008 שאלה 5</w:t>
            </w:r>
          </w:p>
        </w:tc>
      </w:tr>
    </w:tbl>
    <w:p w:rsidR="00D10708" w:rsidRPr="00D10708" w:rsidRDefault="00D10708" w:rsidP="008075FD">
      <w:pPr>
        <w:tabs>
          <w:tab w:val="left" w:pos="1419"/>
        </w:tabs>
        <w:spacing w:line="360" w:lineRule="auto"/>
        <w:ind w:left="360"/>
        <w:jc w:val="both"/>
        <w:rPr>
          <w:rFonts w:ascii="David" w:hAnsi="David" w:cs="David"/>
          <w:b/>
          <w:bCs/>
          <w:sz w:val="24"/>
          <w:szCs w:val="24"/>
          <w:u w:val="single"/>
          <w:rtl/>
        </w:rPr>
      </w:pPr>
      <w:r w:rsidRPr="00D10708">
        <w:rPr>
          <w:rFonts w:ascii="David" w:hAnsi="David" w:cs="David" w:hint="cs"/>
          <w:b/>
          <w:bCs/>
          <w:sz w:val="24"/>
          <w:szCs w:val="24"/>
          <w:u w:val="single"/>
          <w:rtl/>
        </w:rPr>
        <w:t>היבט החשבונאות</w:t>
      </w:r>
    </w:p>
    <w:p w:rsidR="00D10708" w:rsidRDefault="00D10708" w:rsidP="008075FD">
      <w:pPr>
        <w:tabs>
          <w:tab w:val="left" w:pos="1419"/>
        </w:tabs>
        <w:spacing w:line="360" w:lineRule="auto"/>
        <w:ind w:left="360"/>
        <w:jc w:val="both"/>
        <w:rPr>
          <w:rFonts w:ascii="David" w:hAnsi="David" w:cs="David"/>
          <w:sz w:val="24"/>
          <w:szCs w:val="24"/>
          <w:rtl/>
        </w:rPr>
      </w:pPr>
      <w:r w:rsidRPr="00D10708">
        <w:rPr>
          <w:rFonts w:ascii="David" w:hAnsi="David" w:cs="David" w:hint="cs"/>
          <w:sz w:val="24"/>
          <w:szCs w:val="24"/>
          <w:rtl/>
        </w:rPr>
        <w:t>על פי כללי חשבונאות מקובלים פריטים מסויימים בדוכ"ס נמדדים לפי שיטת השוו"ה למשל: רכוש קבוע, נדל"ש וכו''</w:t>
      </w:r>
    </w:p>
    <w:p w:rsidR="00D10708" w:rsidRPr="00D10708" w:rsidRDefault="00D10708" w:rsidP="008075FD">
      <w:pPr>
        <w:tabs>
          <w:tab w:val="left" w:pos="1419"/>
        </w:tabs>
        <w:spacing w:line="360" w:lineRule="auto"/>
        <w:ind w:left="360"/>
        <w:jc w:val="both"/>
        <w:rPr>
          <w:rFonts w:ascii="David" w:hAnsi="David" w:cs="David" w:hint="cs"/>
          <w:b/>
          <w:bCs/>
          <w:sz w:val="24"/>
          <w:szCs w:val="24"/>
          <w:u w:val="single"/>
          <w:rtl/>
        </w:rPr>
      </w:pPr>
      <w:r w:rsidRPr="00D10708">
        <w:rPr>
          <w:rFonts w:ascii="David" w:hAnsi="David" w:cs="David" w:hint="cs"/>
          <w:b/>
          <w:bCs/>
          <w:sz w:val="24"/>
          <w:szCs w:val="24"/>
          <w:u w:val="single"/>
          <w:rtl/>
        </w:rPr>
        <w:t xml:space="preserve">היבט הביקורת </w:t>
      </w:r>
    </w:p>
    <w:p w:rsidR="00D10708" w:rsidRDefault="00D10708" w:rsidP="008075FD">
      <w:pPr>
        <w:tabs>
          <w:tab w:val="left" w:pos="1419"/>
        </w:tabs>
        <w:spacing w:line="360" w:lineRule="auto"/>
        <w:ind w:left="360"/>
        <w:jc w:val="both"/>
        <w:rPr>
          <w:rFonts w:ascii="David" w:hAnsi="David" w:cs="David"/>
          <w:sz w:val="24"/>
          <w:szCs w:val="24"/>
          <w:rtl/>
        </w:rPr>
      </w:pPr>
      <w:r>
        <w:rPr>
          <w:rFonts w:ascii="David" w:hAnsi="David" w:cs="David" w:hint="cs"/>
          <w:sz w:val="24"/>
          <w:szCs w:val="24"/>
          <w:rtl/>
        </w:rPr>
        <w:t xml:space="preserve">ת"ב 97 בדבר "ביקורת המדידה והגילוי לגבי השוו"ה" מדצמבר 2007 נועד לספק למבקר ראיות ביקורת כאשר מיישמים את שיטת השוו"ה בדוכ"ס. </w:t>
      </w:r>
    </w:p>
    <w:p w:rsidR="00D10708" w:rsidRDefault="00924FCE" w:rsidP="00F5361C">
      <w:pPr>
        <w:pStyle w:val="a7"/>
        <w:numPr>
          <w:ilvl w:val="0"/>
          <w:numId w:val="14"/>
        </w:numPr>
        <w:tabs>
          <w:tab w:val="left" w:pos="1419"/>
        </w:tabs>
        <w:spacing w:line="360" w:lineRule="auto"/>
        <w:jc w:val="both"/>
        <w:rPr>
          <w:rFonts w:ascii="David" w:hAnsi="David" w:cs="David"/>
          <w:sz w:val="24"/>
          <w:szCs w:val="24"/>
        </w:rPr>
      </w:pPr>
      <w:r>
        <w:rPr>
          <w:rFonts w:ascii="David" w:hAnsi="David" w:cs="David" w:hint="cs"/>
          <w:sz w:val="24"/>
          <w:szCs w:val="24"/>
          <w:rtl/>
        </w:rPr>
        <w:t xml:space="preserve">על המבקר להבין את </w:t>
      </w:r>
      <w:r>
        <w:rPr>
          <w:rFonts w:ascii="David" w:hAnsi="David" w:cs="David" w:hint="cs"/>
          <w:sz w:val="24"/>
          <w:szCs w:val="24"/>
          <w:u w:val="single"/>
          <w:rtl/>
        </w:rPr>
        <w:t>התהליך,</w:t>
      </w:r>
      <w:r>
        <w:rPr>
          <w:rFonts w:ascii="David" w:hAnsi="David" w:cs="David" w:hint="cs"/>
          <w:sz w:val="24"/>
          <w:szCs w:val="24"/>
          <w:rtl/>
        </w:rPr>
        <w:t xml:space="preserve"> בקביעת המדידה והגילוי של השוו"ה בגוף המבוקר וכן להבין אילו פעילויות </w:t>
      </w:r>
      <w:r>
        <w:rPr>
          <w:rFonts w:ascii="David" w:hAnsi="David" w:cs="David" w:hint="cs"/>
          <w:sz w:val="24"/>
          <w:szCs w:val="24"/>
          <w:u w:val="single"/>
          <w:rtl/>
        </w:rPr>
        <w:t xml:space="preserve">בקרה </w:t>
      </w:r>
      <w:r>
        <w:rPr>
          <w:rFonts w:ascii="David" w:hAnsi="David" w:cs="David" w:hint="cs"/>
          <w:sz w:val="24"/>
          <w:szCs w:val="24"/>
          <w:rtl/>
        </w:rPr>
        <w:t xml:space="preserve">מפעילה ההנהלה בנוגע לכך. עליו להעריך את הסיכונים להצגה מוטעית מהותית ברמת מצגי הדירקטוריון וההנהלה ולתכנן ולבצע נהלי ביקורת מתאימים על פי שיקול דעתו. </w:t>
      </w:r>
    </w:p>
    <w:p w:rsidR="00637325" w:rsidRDefault="00637325" w:rsidP="00F5361C">
      <w:pPr>
        <w:pStyle w:val="a7"/>
        <w:numPr>
          <w:ilvl w:val="0"/>
          <w:numId w:val="14"/>
        </w:numPr>
        <w:tabs>
          <w:tab w:val="left" w:pos="1419"/>
        </w:tabs>
        <w:spacing w:line="360" w:lineRule="auto"/>
        <w:jc w:val="both"/>
        <w:rPr>
          <w:rFonts w:ascii="David" w:hAnsi="David" w:cs="David"/>
          <w:sz w:val="24"/>
          <w:szCs w:val="24"/>
        </w:rPr>
      </w:pPr>
      <w:r>
        <w:rPr>
          <w:rFonts w:ascii="David" w:hAnsi="David" w:cs="David" w:hint="cs"/>
          <w:sz w:val="24"/>
          <w:szCs w:val="24"/>
          <w:rtl/>
        </w:rPr>
        <w:t xml:space="preserve">על המבקר לשקול מספר נושאים </w:t>
      </w:r>
      <w:r w:rsidR="00363F46">
        <w:rPr>
          <w:rFonts w:ascii="David" w:hAnsi="David" w:cs="David" w:hint="cs"/>
          <w:sz w:val="24"/>
          <w:szCs w:val="24"/>
          <w:rtl/>
        </w:rPr>
        <w:t>בעת תהליך ההבנה האמור:</w:t>
      </w:r>
    </w:p>
    <w:p w:rsidR="00363F46" w:rsidRDefault="00363F46" w:rsidP="00F5361C">
      <w:pPr>
        <w:pStyle w:val="a7"/>
        <w:numPr>
          <w:ilvl w:val="0"/>
          <w:numId w:val="15"/>
        </w:numPr>
        <w:tabs>
          <w:tab w:val="left" w:pos="1419"/>
        </w:tabs>
        <w:spacing w:line="360" w:lineRule="auto"/>
        <w:jc w:val="both"/>
        <w:rPr>
          <w:rFonts w:ascii="David" w:hAnsi="David" w:cs="David" w:hint="cs"/>
          <w:sz w:val="24"/>
          <w:szCs w:val="24"/>
        </w:rPr>
      </w:pPr>
      <w:r>
        <w:rPr>
          <w:rFonts w:ascii="David" w:hAnsi="David" w:cs="David" w:hint="cs"/>
          <w:sz w:val="24"/>
          <w:szCs w:val="24"/>
          <w:rtl/>
        </w:rPr>
        <w:t xml:space="preserve">מהן הבקרות שמפעילה ההנהלה </w:t>
      </w:r>
    </w:p>
    <w:p w:rsidR="00363F46" w:rsidRDefault="00363F46" w:rsidP="00F5361C">
      <w:pPr>
        <w:pStyle w:val="a7"/>
        <w:numPr>
          <w:ilvl w:val="0"/>
          <w:numId w:val="15"/>
        </w:numPr>
        <w:tabs>
          <w:tab w:val="left" w:pos="1419"/>
        </w:tabs>
        <w:spacing w:line="360" w:lineRule="auto"/>
        <w:jc w:val="both"/>
        <w:rPr>
          <w:rFonts w:ascii="David" w:hAnsi="David" w:cs="David" w:hint="cs"/>
          <w:sz w:val="24"/>
          <w:szCs w:val="24"/>
        </w:rPr>
      </w:pPr>
      <w:r>
        <w:rPr>
          <w:rFonts w:ascii="David" w:hAnsi="David" w:cs="David" w:hint="cs"/>
          <w:sz w:val="24"/>
          <w:szCs w:val="24"/>
          <w:rtl/>
        </w:rPr>
        <w:t xml:space="preserve">מהי מידת המומחיות והניסיון של אילו הקובעים את מדידת השוו"ה </w:t>
      </w:r>
    </w:p>
    <w:p w:rsidR="00363F46" w:rsidRDefault="00363F46" w:rsidP="00F5361C">
      <w:pPr>
        <w:pStyle w:val="a7"/>
        <w:numPr>
          <w:ilvl w:val="0"/>
          <w:numId w:val="15"/>
        </w:numPr>
        <w:tabs>
          <w:tab w:val="left" w:pos="1419"/>
        </w:tabs>
        <w:spacing w:line="360" w:lineRule="auto"/>
        <w:jc w:val="both"/>
        <w:rPr>
          <w:rFonts w:ascii="David" w:hAnsi="David" w:cs="David" w:hint="cs"/>
          <w:sz w:val="24"/>
          <w:szCs w:val="24"/>
        </w:rPr>
      </w:pPr>
      <w:r>
        <w:rPr>
          <w:rFonts w:ascii="David" w:hAnsi="David" w:cs="David" w:hint="cs"/>
          <w:sz w:val="24"/>
          <w:szCs w:val="24"/>
          <w:rtl/>
        </w:rPr>
        <w:t>מהו התפקיד שאותה ממלאת טכנולוגיית המידע בתהליך</w:t>
      </w:r>
    </w:p>
    <w:p w:rsidR="00363F46" w:rsidRDefault="00363F46" w:rsidP="00F5361C">
      <w:pPr>
        <w:pStyle w:val="a7"/>
        <w:numPr>
          <w:ilvl w:val="0"/>
          <w:numId w:val="15"/>
        </w:numPr>
        <w:tabs>
          <w:tab w:val="left" w:pos="1419"/>
        </w:tabs>
        <w:spacing w:line="360" w:lineRule="auto"/>
        <w:jc w:val="both"/>
        <w:rPr>
          <w:rFonts w:ascii="David" w:hAnsi="David" w:cs="David" w:hint="cs"/>
          <w:sz w:val="24"/>
          <w:szCs w:val="24"/>
        </w:rPr>
      </w:pPr>
      <w:r>
        <w:rPr>
          <w:rFonts w:ascii="David" w:hAnsi="David" w:cs="David" w:hint="cs"/>
          <w:sz w:val="24"/>
          <w:szCs w:val="24"/>
          <w:rtl/>
        </w:rPr>
        <w:t>מהם החשבונות המטופלים בשיטת השוו"ה .</w:t>
      </w:r>
    </w:p>
    <w:p w:rsidR="00363F46" w:rsidRDefault="00363F46" w:rsidP="00F5361C">
      <w:pPr>
        <w:pStyle w:val="a7"/>
        <w:numPr>
          <w:ilvl w:val="0"/>
          <w:numId w:val="15"/>
        </w:numPr>
        <w:tabs>
          <w:tab w:val="left" w:pos="1419"/>
        </w:tabs>
        <w:spacing w:line="360" w:lineRule="auto"/>
        <w:jc w:val="both"/>
        <w:rPr>
          <w:rFonts w:ascii="David" w:hAnsi="David" w:cs="David"/>
          <w:sz w:val="24"/>
          <w:szCs w:val="24"/>
        </w:rPr>
      </w:pPr>
      <w:r>
        <w:rPr>
          <w:rFonts w:ascii="David" w:hAnsi="David" w:cs="David" w:hint="cs"/>
          <w:sz w:val="24"/>
          <w:szCs w:val="24"/>
          <w:rtl/>
        </w:rPr>
        <w:t>מהי המידה שבה מסתייע הגוף המבוקר מבחינת התהליך על לשכת שירות לצורך מדידה של שוו"ה או הפקת נתונים התומכים במידע. כאשר המבוקר מסתייע בלשכת שירות על רו"ח ליישם את תקן ביקורת 94.</w:t>
      </w:r>
    </w:p>
    <w:p w:rsidR="00363F46" w:rsidRDefault="00363F46" w:rsidP="00F5361C">
      <w:pPr>
        <w:pStyle w:val="a7"/>
        <w:numPr>
          <w:ilvl w:val="0"/>
          <w:numId w:val="15"/>
        </w:numPr>
        <w:tabs>
          <w:tab w:val="left" w:pos="1419"/>
        </w:tabs>
        <w:spacing w:line="360" w:lineRule="auto"/>
        <w:jc w:val="both"/>
        <w:rPr>
          <w:rFonts w:ascii="David" w:hAnsi="David" w:cs="David"/>
          <w:sz w:val="24"/>
          <w:szCs w:val="24"/>
        </w:rPr>
      </w:pPr>
      <w:r>
        <w:rPr>
          <w:rFonts w:ascii="David" w:hAnsi="David" w:cs="David" w:hint="cs"/>
          <w:sz w:val="24"/>
          <w:szCs w:val="24"/>
          <w:rtl/>
        </w:rPr>
        <w:t>יש לבחון את המידה שבה הגוף המבוקר עושה שימוש בעבודת מומחים .</w:t>
      </w:r>
    </w:p>
    <w:p w:rsidR="00363F46" w:rsidRDefault="00363F46" w:rsidP="00F5361C">
      <w:pPr>
        <w:pStyle w:val="a7"/>
        <w:numPr>
          <w:ilvl w:val="0"/>
          <w:numId w:val="15"/>
        </w:numPr>
        <w:tabs>
          <w:tab w:val="left" w:pos="1419"/>
        </w:tabs>
        <w:spacing w:line="360" w:lineRule="auto"/>
        <w:jc w:val="both"/>
        <w:rPr>
          <w:rFonts w:ascii="David" w:hAnsi="David" w:cs="David"/>
          <w:sz w:val="24"/>
          <w:szCs w:val="24"/>
        </w:rPr>
      </w:pPr>
      <w:r>
        <w:rPr>
          <w:rFonts w:ascii="David" w:hAnsi="David" w:cs="David" w:hint="cs"/>
          <w:sz w:val="24"/>
          <w:szCs w:val="24"/>
          <w:rtl/>
        </w:rPr>
        <w:t>יש לבחון את ההנחות המשמעותיות של הדירקטוריון וההנהלה בהן נעשה שימוש בקביעת השוו"ה.</w:t>
      </w:r>
    </w:p>
    <w:p w:rsidR="00363F46" w:rsidRDefault="00363F46" w:rsidP="00F5361C">
      <w:pPr>
        <w:pStyle w:val="a7"/>
        <w:numPr>
          <w:ilvl w:val="0"/>
          <w:numId w:val="15"/>
        </w:numPr>
        <w:tabs>
          <w:tab w:val="left" w:pos="1419"/>
        </w:tabs>
        <w:spacing w:line="360" w:lineRule="auto"/>
        <w:jc w:val="both"/>
        <w:rPr>
          <w:rFonts w:ascii="David" w:hAnsi="David" w:cs="David" w:hint="cs"/>
          <w:sz w:val="24"/>
          <w:szCs w:val="24"/>
        </w:rPr>
      </w:pPr>
      <w:r>
        <w:rPr>
          <w:rFonts w:ascii="David" w:hAnsi="David" w:cs="David" w:hint="cs"/>
          <w:sz w:val="24"/>
          <w:szCs w:val="24"/>
          <w:rtl/>
        </w:rPr>
        <w:t xml:space="preserve">יש לבחון את התיעוד התומך בהנחות הדירקטוריון וההנהלה </w:t>
      </w:r>
    </w:p>
    <w:p w:rsidR="00363F46" w:rsidRDefault="00363F46" w:rsidP="00F5361C">
      <w:pPr>
        <w:pStyle w:val="a7"/>
        <w:numPr>
          <w:ilvl w:val="0"/>
          <w:numId w:val="15"/>
        </w:numPr>
        <w:tabs>
          <w:tab w:val="left" w:pos="1419"/>
        </w:tabs>
        <w:spacing w:line="360" w:lineRule="auto"/>
        <w:jc w:val="both"/>
        <w:rPr>
          <w:rFonts w:ascii="David" w:hAnsi="David" w:cs="David" w:hint="cs"/>
          <w:sz w:val="24"/>
          <w:szCs w:val="24"/>
        </w:rPr>
      </w:pPr>
      <w:r>
        <w:rPr>
          <w:rFonts w:ascii="David" w:hAnsi="David" w:cs="David" w:hint="cs"/>
          <w:sz w:val="24"/>
          <w:szCs w:val="24"/>
          <w:rtl/>
        </w:rPr>
        <w:t xml:space="preserve">יש לבחון את מהימנותן של הבקרות על שינויים ונהלים של אבטחה המתייחסים למודלים של הערכה על פי שוו"ה. </w:t>
      </w:r>
    </w:p>
    <w:p w:rsidR="00363F46" w:rsidRDefault="00363F46" w:rsidP="00F5361C">
      <w:pPr>
        <w:pStyle w:val="a7"/>
        <w:numPr>
          <w:ilvl w:val="0"/>
          <w:numId w:val="15"/>
        </w:numPr>
        <w:tabs>
          <w:tab w:val="left" w:pos="1419"/>
        </w:tabs>
        <w:spacing w:line="360" w:lineRule="auto"/>
        <w:jc w:val="both"/>
        <w:rPr>
          <w:rFonts w:ascii="David" w:hAnsi="David" w:cs="David" w:hint="cs"/>
          <w:sz w:val="24"/>
          <w:szCs w:val="24"/>
        </w:rPr>
      </w:pPr>
      <w:r>
        <w:rPr>
          <w:rFonts w:ascii="David" w:hAnsi="David" w:cs="David" w:hint="cs"/>
          <w:sz w:val="24"/>
          <w:szCs w:val="24"/>
          <w:rtl/>
        </w:rPr>
        <w:t xml:space="preserve">יש לבחון את הבקרה על עיקרון העקביות, על העמידה בלוחות זמנים ובחינת מהימנותם של הנתונים שבהם ההנהלה עשתה שימוש. </w:t>
      </w:r>
    </w:p>
    <w:p w:rsidR="00363F46" w:rsidRDefault="00363F46" w:rsidP="00F5361C">
      <w:pPr>
        <w:pStyle w:val="a7"/>
        <w:numPr>
          <w:ilvl w:val="0"/>
          <w:numId w:val="14"/>
        </w:numPr>
        <w:tabs>
          <w:tab w:val="left" w:pos="1419"/>
        </w:tabs>
        <w:spacing w:line="360" w:lineRule="auto"/>
        <w:jc w:val="both"/>
        <w:rPr>
          <w:rFonts w:ascii="David" w:hAnsi="David" w:cs="David" w:hint="cs"/>
          <w:sz w:val="24"/>
          <w:szCs w:val="24"/>
        </w:rPr>
      </w:pPr>
      <w:r>
        <w:rPr>
          <w:rFonts w:ascii="David" w:hAnsi="David" w:cs="David" w:hint="cs"/>
          <w:sz w:val="24"/>
          <w:szCs w:val="24"/>
          <w:rtl/>
        </w:rPr>
        <w:t xml:space="preserve">על רו"ח המבקר להעריך את האמור בסעיפים 10-12 לרבות הפירוט שנקבע בסעיף 12 וכן עליו להעריך בהתאם לסעיף 17 אם המדידה והגילוי של השוו"ה בדוכ"ס היא בהתאם למסגרת הדיווח הכספי החלה על המבוקר. </w:t>
      </w:r>
    </w:p>
    <w:p w:rsidR="00363F46" w:rsidRDefault="00363F46" w:rsidP="00F5361C">
      <w:pPr>
        <w:pStyle w:val="a7"/>
        <w:numPr>
          <w:ilvl w:val="0"/>
          <w:numId w:val="14"/>
        </w:numPr>
        <w:tabs>
          <w:tab w:val="left" w:pos="1419"/>
        </w:tabs>
        <w:spacing w:line="360" w:lineRule="auto"/>
        <w:jc w:val="both"/>
        <w:rPr>
          <w:rFonts w:ascii="David" w:hAnsi="David" w:cs="David"/>
          <w:sz w:val="24"/>
          <w:szCs w:val="24"/>
        </w:rPr>
      </w:pPr>
      <w:r>
        <w:rPr>
          <w:rFonts w:ascii="David" w:hAnsi="David" w:cs="David" w:hint="cs"/>
          <w:sz w:val="24"/>
          <w:szCs w:val="24"/>
          <w:rtl/>
        </w:rPr>
        <w:lastRenderedPageBreak/>
        <w:t>כאשר קיימות מספר שיטות חלופיות למדידה של שוו"ה על המבקר להעריך אם השיטה המיושמת במדידה אכן מתאימה בנסיבות העניין למסגרת הדיווח הכספי החלה על הגוף המבוקר (סעיף 24)</w:t>
      </w:r>
    </w:p>
    <w:p w:rsidR="00363F46" w:rsidRDefault="00363F46" w:rsidP="00F5361C">
      <w:pPr>
        <w:pStyle w:val="a7"/>
        <w:numPr>
          <w:ilvl w:val="0"/>
          <w:numId w:val="14"/>
        </w:numPr>
        <w:tabs>
          <w:tab w:val="left" w:pos="1419"/>
        </w:tabs>
        <w:spacing w:line="360" w:lineRule="auto"/>
        <w:jc w:val="both"/>
        <w:rPr>
          <w:rFonts w:ascii="David" w:hAnsi="David" w:cs="David" w:hint="cs"/>
          <w:sz w:val="24"/>
          <w:szCs w:val="24"/>
        </w:rPr>
      </w:pPr>
      <w:r>
        <w:rPr>
          <w:rFonts w:ascii="David" w:hAnsi="David" w:cs="David" w:hint="cs"/>
          <w:sz w:val="24"/>
          <w:szCs w:val="24"/>
          <w:rtl/>
        </w:rPr>
        <w:t xml:space="preserve">על המבקר להעריך אם השיטה להערכת השווי ההוגן במבוקר מיושמת באופן עקבי (סעיף 27) </w:t>
      </w:r>
    </w:p>
    <w:p w:rsidR="00363F46" w:rsidRDefault="00363F46" w:rsidP="00F5361C">
      <w:pPr>
        <w:pStyle w:val="a7"/>
        <w:numPr>
          <w:ilvl w:val="0"/>
          <w:numId w:val="14"/>
        </w:numPr>
        <w:tabs>
          <w:tab w:val="left" w:pos="1419"/>
        </w:tabs>
        <w:spacing w:line="360" w:lineRule="auto"/>
        <w:jc w:val="both"/>
        <w:rPr>
          <w:rFonts w:ascii="David" w:hAnsi="David" w:cs="David"/>
          <w:sz w:val="24"/>
          <w:szCs w:val="24"/>
        </w:rPr>
      </w:pPr>
      <w:r>
        <w:rPr>
          <w:rFonts w:ascii="David" w:hAnsi="David" w:cs="David" w:hint="cs"/>
          <w:sz w:val="24"/>
          <w:szCs w:val="24"/>
          <w:rtl/>
        </w:rPr>
        <w:t>על המבקר לקבוע את הצורך בשימוש בעבודת מומחה ואם כן עליו לפעול בנושא זה בהתאם לת"ב 96. (סעיף 29)</w:t>
      </w:r>
    </w:p>
    <w:p w:rsidR="008B310F" w:rsidRDefault="00363F46" w:rsidP="00F5361C">
      <w:pPr>
        <w:pStyle w:val="a7"/>
        <w:numPr>
          <w:ilvl w:val="0"/>
          <w:numId w:val="14"/>
        </w:numPr>
        <w:tabs>
          <w:tab w:val="left" w:pos="1419"/>
        </w:tabs>
        <w:spacing w:line="360" w:lineRule="auto"/>
        <w:jc w:val="both"/>
        <w:rPr>
          <w:rFonts w:ascii="David" w:hAnsi="David" w:cs="David"/>
          <w:sz w:val="24"/>
          <w:szCs w:val="24"/>
        </w:rPr>
      </w:pPr>
      <w:r>
        <w:rPr>
          <w:rFonts w:ascii="David" w:hAnsi="David" w:cs="David" w:hint="cs"/>
          <w:sz w:val="24"/>
          <w:szCs w:val="24"/>
          <w:rtl/>
        </w:rPr>
        <w:t xml:space="preserve">כאשר המבקר מגלה הצגה מוטעית מהותית בקשר למדידה וגילוי של שוו"ה, הרי שבהתאם לסעיף 33 </w:t>
      </w:r>
      <w:r w:rsidR="008B310F">
        <w:rPr>
          <w:rFonts w:ascii="David" w:hAnsi="David" w:cs="David" w:hint="cs"/>
          <w:sz w:val="24"/>
          <w:szCs w:val="24"/>
          <w:rtl/>
        </w:rPr>
        <w:t>עליו לתכנן ולבצע נהלי ביקורת נוספים במענה לסיכונים שהוערכו ולפעול בהתאם לתקן ביקורת 98 .</w:t>
      </w:r>
    </w:p>
    <w:p w:rsidR="008B310F" w:rsidRDefault="008B310F" w:rsidP="00F5361C">
      <w:pPr>
        <w:pStyle w:val="a7"/>
        <w:numPr>
          <w:ilvl w:val="0"/>
          <w:numId w:val="14"/>
        </w:numPr>
        <w:tabs>
          <w:tab w:val="left" w:pos="1419"/>
        </w:tabs>
        <w:spacing w:line="360" w:lineRule="auto"/>
        <w:jc w:val="both"/>
        <w:rPr>
          <w:rFonts w:ascii="David" w:hAnsi="David" w:cs="David"/>
          <w:sz w:val="24"/>
          <w:szCs w:val="24"/>
        </w:rPr>
      </w:pPr>
      <w:r>
        <w:rPr>
          <w:rFonts w:ascii="David" w:hAnsi="David" w:cs="David" w:hint="cs"/>
          <w:sz w:val="24"/>
          <w:szCs w:val="24"/>
          <w:rtl/>
        </w:rPr>
        <w:t>על המבקר להעריך האם ראיות הביקורת של בחינת המדידה והגילוי של שוו"ה עקביות לראיות ביקורת אחרות (סעיף 61)</w:t>
      </w:r>
    </w:p>
    <w:p w:rsidR="008B310F" w:rsidRDefault="008B310F" w:rsidP="00F5361C">
      <w:pPr>
        <w:pStyle w:val="a7"/>
        <w:numPr>
          <w:ilvl w:val="0"/>
          <w:numId w:val="14"/>
        </w:numPr>
        <w:tabs>
          <w:tab w:val="left" w:pos="1419"/>
        </w:tabs>
        <w:spacing w:line="360" w:lineRule="auto"/>
        <w:jc w:val="both"/>
        <w:rPr>
          <w:rFonts w:ascii="David" w:hAnsi="David" w:cs="David" w:hint="cs"/>
          <w:sz w:val="24"/>
          <w:szCs w:val="24"/>
        </w:rPr>
      </w:pPr>
      <w:r>
        <w:rPr>
          <w:rFonts w:ascii="David" w:hAnsi="David" w:cs="David" w:hint="cs"/>
          <w:sz w:val="24"/>
          <w:szCs w:val="24"/>
          <w:rtl/>
        </w:rPr>
        <w:t xml:space="preserve">הצהרת מנהלים </w:t>
      </w:r>
      <w:r>
        <w:rPr>
          <w:rFonts w:ascii="David" w:hAnsi="David" w:cs="David"/>
          <w:sz w:val="24"/>
          <w:szCs w:val="24"/>
          <w:rtl/>
        </w:rPr>
        <w:t>–</w:t>
      </w:r>
      <w:r>
        <w:rPr>
          <w:rFonts w:ascii="David" w:hAnsi="David" w:cs="David" w:hint="cs"/>
          <w:sz w:val="24"/>
          <w:szCs w:val="24"/>
          <w:rtl/>
        </w:rPr>
        <w:t xml:space="preserve"> על פי סעיף 63 לתקן על המבקר לקבל מכתב הצהרת מנהלים בנוגע לסבירות ההנחות משמעותיות שיושמו ע"י הדירקטוריון וההנהלה. </w:t>
      </w:r>
    </w:p>
    <w:p w:rsidR="002657FD" w:rsidRPr="00A973E7" w:rsidRDefault="008B310F" w:rsidP="00A973E7">
      <w:pPr>
        <w:tabs>
          <w:tab w:val="left" w:pos="1419"/>
        </w:tabs>
        <w:spacing w:line="360" w:lineRule="auto"/>
        <w:ind w:left="360"/>
        <w:jc w:val="both"/>
        <w:rPr>
          <w:rFonts w:ascii="David" w:hAnsi="David" w:cs="David"/>
          <w:b/>
          <w:bCs/>
          <w:sz w:val="24"/>
          <w:szCs w:val="24"/>
        </w:rPr>
      </w:pPr>
      <w:r>
        <w:rPr>
          <w:rFonts w:ascii="David" w:hAnsi="David" w:cs="David" w:hint="cs"/>
          <w:b/>
          <w:bCs/>
          <w:sz w:val="24"/>
          <w:szCs w:val="24"/>
          <w:rtl/>
        </w:rPr>
        <w:t>טיפ</w:t>
      </w:r>
      <w:r w:rsidR="00A973E7">
        <w:rPr>
          <w:rFonts w:ascii="David" w:hAnsi="David" w:cs="David" w:hint="cs"/>
          <w:b/>
          <w:bCs/>
          <w:sz w:val="24"/>
          <w:szCs w:val="24"/>
          <w:rtl/>
        </w:rPr>
        <w:t xml:space="preserve">: </w:t>
      </w:r>
      <w:bookmarkStart w:id="0" w:name="_GoBack"/>
      <w:bookmarkEnd w:id="0"/>
      <w:r>
        <w:rPr>
          <w:rFonts w:ascii="David" w:hAnsi="David" w:cs="David" w:hint="cs"/>
          <w:b/>
          <w:bCs/>
          <w:sz w:val="24"/>
          <w:szCs w:val="24"/>
          <w:rtl/>
        </w:rPr>
        <w:t>מתוך תוכן העניינים של ת"ב 97 ותוך כדי סריקת הסעיפים בתקן ניתן להרכיב תכנית ביקורת שכוללת עשרות נהלי ביקורת</w:t>
      </w:r>
      <w:r w:rsidR="002657FD">
        <w:rPr>
          <w:rFonts w:ascii="David" w:hAnsi="David" w:cs="David" w:hint="cs"/>
          <w:b/>
          <w:bCs/>
          <w:sz w:val="24"/>
          <w:szCs w:val="24"/>
          <w:rtl/>
        </w:rPr>
        <w:t>.</w:t>
      </w:r>
    </w:p>
    <w:p w:rsidR="00363F46" w:rsidRPr="008B310F" w:rsidRDefault="00363F46" w:rsidP="00E61FF2">
      <w:pPr>
        <w:pStyle w:val="a7"/>
        <w:tabs>
          <w:tab w:val="left" w:pos="1419"/>
        </w:tabs>
        <w:spacing w:line="360" w:lineRule="auto"/>
        <w:jc w:val="both"/>
        <w:rPr>
          <w:rFonts w:ascii="David" w:hAnsi="David" w:cs="David" w:hint="cs"/>
          <w:sz w:val="24"/>
          <w:szCs w:val="24"/>
          <w:rtl/>
        </w:rPr>
      </w:pPr>
      <w:r w:rsidRPr="008B310F">
        <w:rPr>
          <w:rFonts w:ascii="David" w:hAnsi="David" w:cs="David" w:hint="cs"/>
          <w:sz w:val="24"/>
          <w:szCs w:val="24"/>
          <w:rtl/>
        </w:rPr>
        <w:t xml:space="preserve"> </w:t>
      </w:r>
    </w:p>
    <w:sectPr w:rsidR="00363F46" w:rsidRPr="008B310F" w:rsidSect="00B551AD">
      <w:headerReference w:type="default" r:id="rId8"/>
      <w:footerReference w:type="default" r:id="rId9"/>
      <w:pgSz w:w="11906" w:h="16838"/>
      <w:pgMar w:top="1440" w:right="1800" w:bottom="1440" w:left="1800" w:header="709" w:footer="709" w:gutter="0"/>
      <w:pgNumType w:start="8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61C" w:rsidRDefault="00F5361C" w:rsidP="00F172F9">
      <w:pPr>
        <w:spacing w:after="0" w:line="240" w:lineRule="auto"/>
      </w:pPr>
      <w:r>
        <w:separator/>
      </w:r>
    </w:p>
  </w:endnote>
  <w:endnote w:type="continuationSeparator" w:id="0">
    <w:p w:rsidR="00F5361C" w:rsidRDefault="00F5361C"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839705"/>
      <w:docPartObj>
        <w:docPartGallery w:val="Page Numbers (Bottom of Page)"/>
        <w:docPartUnique/>
      </w:docPartObj>
    </w:sdtPr>
    <w:sdtContent>
      <w:p w:rsidR="001B38CE" w:rsidRDefault="001B38CE">
        <w:pPr>
          <w:pStyle w:val="a5"/>
          <w:jc w:val="center"/>
          <w:rPr>
            <w:rtl/>
            <w:cs/>
          </w:rPr>
        </w:pPr>
        <w:r>
          <w:fldChar w:fldCharType="begin"/>
        </w:r>
        <w:r>
          <w:rPr>
            <w:rtl/>
            <w:cs/>
          </w:rPr>
          <w:instrText>PAGE   \* MERGEFORMAT</w:instrText>
        </w:r>
        <w:r>
          <w:fldChar w:fldCharType="separate"/>
        </w:r>
        <w:r w:rsidR="00A973E7" w:rsidRPr="00A973E7">
          <w:rPr>
            <w:noProof/>
            <w:rtl/>
            <w:lang w:val="he-IL"/>
          </w:rPr>
          <w:t>93</w:t>
        </w:r>
        <w:r>
          <w:fldChar w:fldCharType="end"/>
        </w:r>
      </w:p>
    </w:sdtContent>
  </w:sdt>
  <w:p w:rsidR="001B38CE" w:rsidRDefault="001B38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61C" w:rsidRDefault="00F5361C" w:rsidP="00F172F9">
      <w:pPr>
        <w:spacing w:after="0" w:line="240" w:lineRule="auto"/>
      </w:pPr>
      <w:r>
        <w:separator/>
      </w:r>
    </w:p>
  </w:footnote>
  <w:footnote w:type="continuationSeparator" w:id="0">
    <w:p w:rsidR="00F5361C" w:rsidRDefault="00F5361C"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8CE" w:rsidRPr="00E23F29" w:rsidRDefault="001B38CE" w:rsidP="00697367">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18/01/15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F3103"/>
    <w:multiLevelType w:val="hybridMultilevel"/>
    <w:tmpl w:val="5AD88BC6"/>
    <w:lvl w:ilvl="0" w:tplc="F222C61E">
      <w:start w:val="10"/>
      <w:numFmt w:val="bullet"/>
      <w:lvlText w:val=""/>
      <w:lvlJc w:val="left"/>
      <w:pPr>
        <w:ind w:left="1440"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253C4"/>
    <w:multiLevelType w:val="hybridMultilevel"/>
    <w:tmpl w:val="1D3E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B22F7"/>
    <w:multiLevelType w:val="hybridMultilevel"/>
    <w:tmpl w:val="ED32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73442"/>
    <w:multiLevelType w:val="hybridMultilevel"/>
    <w:tmpl w:val="F25C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F7587"/>
    <w:multiLevelType w:val="hybridMultilevel"/>
    <w:tmpl w:val="AEE2B826"/>
    <w:lvl w:ilvl="0" w:tplc="C99AC62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327E5599"/>
    <w:multiLevelType w:val="hybridMultilevel"/>
    <w:tmpl w:val="B1A46326"/>
    <w:lvl w:ilvl="0" w:tplc="C8BEAD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D00477"/>
    <w:multiLevelType w:val="hybridMultilevel"/>
    <w:tmpl w:val="6BD6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D304E0"/>
    <w:multiLevelType w:val="hybridMultilevel"/>
    <w:tmpl w:val="BDE24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6255F"/>
    <w:multiLevelType w:val="hybridMultilevel"/>
    <w:tmpl w:val="0EF05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C3CB3"/>
    <w:multiLevelType w:val="hybridMultilevel"/>
    <w:tmpl w:val="8978297C"/>
    <w:lvl w:ilvl="0" w:tplc="E86C2F7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0E1ABA"/>
    <w:multiLevelType w:val="hybridMultilevel"/>
    <w:tmpl w:val="D1FE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D059E6"/>
    <w:multiLevelType w:val="hybridMultilevel"/>
    <w:tmpl w:val="D07CBCFA"/>
    <w:lvl w:ilvl="0" w:tplc="4718C28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0B234F"/>
    <w:multiLevelType w:val="hybridMultilevel"/>
    <w:tmpl w:val="D7D4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F7DE8"/>
    <w:multiLevelType w:val="hybridMultilevel"/>
    <w:tmpl w:val="2D1E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F2C92"/>
    <w:multiLevelType w:val="hybridMultilevel"/>
    <w:tmpl w:val="9E7A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9"/>
  </w:num>
  <w:num w:numId="5">
    <w:abstractNumId w:val="0"/>
  </w:num>
  <w:num w:numId="6">
    <w:abstractNumId w:val="11"/>
  </w:num>
  <w:num w:numId="7">
    <w:abstractNumId w:val="4"/>
  </w:num>
  <w:num w:numId="8">
    <w:abstractNumId w:val="14"/>
  </w:num>
  <w:num w:numId="9">
    <w:abstractNumId w:val="1"/>
  </w:num>
  <w:num w:numId="10">
    <w:abstractNumId w:val="10"/>
  </w:num>
  <w:num w:numId="11">
    <w:abstractNumId w:val="12"/>
  </w:num>
  <w:num w:numId="12">
    <w:abstractNumId w:val="13"/>
  </w:num>
  <w:num w:numId="13">
    <w:abstractNumId w:val="6"/>
  </w:num>
  <w:num w:numId="14">
    <w:abstractNumId w:val="7"/>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118"/>
    <w:rsid w:val="0000367B"/>
    <w:rsid w:val="00004320"/>
    <w:rsid w:val="00005C1A"/>
    <w:rsid w:val="00011E72"/>
    <w:rsid w:val="00013F94"/>
    <w:rsid w:val="00016E3D"/>
    <w:rsid w:val="0001703A"/>
    <w:rsid w:val="0001759B"/>
    <w:rsid w:val="000209F9"/>
    <w:rsid w:val="0002110F"/>
    <w:rsid w:val="000225B3"/>
    <w:rsid w:val="000272A4"/>
    <w:rsid w:val="00031967"/>
    <w:rsid w:val="00031E4D"/>
    <w:rsid w:val="00031F9A"/>
    <w:rsid w:val="000327A7"/>
    <w:rsid w:val="00033240"/>
    <w:rsid w:val="0003559A"/>
    <w:rsid w:val="000363BD"/>
    <w:rsid w:val="000367D8"/>
    <w:rsid w:val="0004273E"/>
    <w:rsid w:val="0004387F"/>
    <w:rsid w:val="000440FC"/>
    <w:rsid w:val="00044E1C"/>
    <w:rsid w:val="000466F2"/>
    <w:rsid w:val="00050C03"/>
    <w:rsid w:val="00053367"/>
    <w:rsid w:val="000575B5"/>
    <w:rsid w:val="00057726"/>
    <w:rsid w:val="00061ECA"/>
    <w:rsid w:val="00065B31"/>
    <w:rsid w:val="0006680A"/>
    <w:rsid w:val="000711EB"/>
    <w:rsid w:val="0008007B"/>
    <w:rsid w:val="000814D8"/>
    <w:rsid w:val="00084500"/>
    <w:rsid w:val="00084711"/>
    <w:rsid w:val="00085F48"/>
    <w:rsid w:val="000873BF"/>
    <w:rsid w:val="00087407"/>
    <w:rsid w:val="00091AA0"/>
    <w:rsid w:val="00094596"/>
    <w:rsid w:val="000945A1"/>
    <w:rsid w:val="00094D10"/>
    <w:rsid w:val="000959D1"/>
    <w:rsid w:val="000977C3"/>
    <w:rsid w:val="00097936"/>
    <w:rsid w:val="000A25BC"/>
    <w:rsid w:val="000A36FC"/>
    <w:rsid w:val="000A46FC"/>
    <w:rsid w:val="000A63A1"/>
    <w:rsid w:val="000A770A"/>
    <w:rsid w:val="000B2B86"/>
    <w:rsid w:val="000B3005"/>
    <w:rsid w:val="000B514B"/>
    <w:rsid w:val="000B7066"/>
    <w:rsid w:val="000C04AC"/>
    <w:rsid w:val="000C6DA3"/>
    <w:rsid w:val="000C7DAE"/>
    <w:rsid w:val="000D0B98"/>
    <w:rsid w:val="000D107A"/>
    <w:rsid w:val="000D2AA6"/>
    <w:rsid w:val="000D3802"/>
    <w:rsid w:val="000D3873"/>
    <w:rsid w:val="000D3CF8"/>
    <w:rsid w:val="000D4AA1"/>
    <w:rsid w:val="000D52B5"/>
    <w:rsid w:val="000D5807"/>
    <w:rsid w:val="000D5F52"/>
    <w:rsid w:val="000E0AF4"/>
    <w:rsid w:val="000E2D7F"/>
    <w:rsid w:val="000E426B"/>
    <w:rsid w:val="000E6DA5"/>
    <w:rsid w:val="000E6E51"/>
    <w:rsid w:val="000F02B2"/>
    <w:rsid w:val="000F0CC7"/>
    <w:rsid w:val="000F5666"/>
    <w:rsid w:val="000F5E3D"/>
    <w:rsid w:val="000F61AF"/>
    <w:rsid w:val="000F6613"/>
    <w:rsid w:val="001040B2"/>
    <w:rsid w:val="00105D60"/>
    <w:rsid w:val="00107C72"/>
    <w:rsid w:val="00110107"/>
    <w:rsid w:val="00110853"/>
    <w:rsid w:val="001137CC"/>
    <w:rsid w:val="0011431E"/>
    <w:rsid w:val="00114504"/>
    <w:rsid w:val="00115DB8"/>
    <w:rsid w:val="00116E42"/>
    <w:rsid w:val="00121874"/>
    <w:rsid w:val="00135C71"/>
    <w:rsid w:val="00135FFF"/>
    <w:rsid w:val="001363D0"/>
    <w:rsid w:val="00137958"/>
    <w:rsid w:val="00137FEC"/>
    <w:rsid w:val="001416AE"/>
    <w:rsid w:val="00141C1F"/>
    <w:rsid w:val="001444A8"/>
    <w:rsid w:val="00147C17"/>
    <w:rsid w:val="001508CA"/>
    <w:rsid w:val="001528B5"/>
    <w:rsid w:val="0015329C"/>
    <w:rsid w:val="00154530"/>
    <w:rsid w:val="0015711F"/>
    <w:rsid w:val="00161B0D"/>
    <w:rsid w:val="00166003"/>
    <w:rsid w:val="0016713B"/>
    <w:rsid w:val="00167879"/>
    <w:rsid w:val="001732EE"/>
    <w:rsid w:val="00173BC6"/>
    <w:rsid w:val="00174761"/>
    <w:rsid w:val="00176487"/>
    <w:rsid w:val="00176A8F"/>
    <w:rsid w:val="00177F4F"/>
    <w:rsid w:val="0018067B"/>
    <w:rsid w:val="00183855"/>
    <w:rsid w:val="0018443E"/>
    <w:rsid w:val="001852FD"/>
    <w:rsid w:val="0018578B"/>
    <w:rsid w:val="00185DEE"/>
    <w:rsid w:val="001860CD"/>
    <w:rsid w:val="00193545"/>
    <w:rsid w:val="00194CB1"/>
    <w:rsid w:val="001A0058"/>
    <w:rsid w:val="001A028B"/>
    <w:rsid w:val="001A070A"/>
    <w:rsid w:val="001A1421"/>
    <w:rsid w:val="001A3F0D"/>
    <w:rsid w:val="001A5E98"/>
    <w:rsid w:val="001A662B"/>
    <w:rsid w:val="001B3612"/>
    <w:rsid w:val="001B38CE"/>
    <w:rsid w:val="001C2867"/>
    <w:rsid w:val="001C2984"/>
    <w:rsid w:val="001C3AD7"/>
    <w:rsid w:val="001D03CD"/>
    <w:rsid w:val="001D107B"/>
    <w:rsid w:val="001D2ADA"/>
    <w:rsid w:val="001D4E76"/>
    <w:rsid w:val="001D7530"/>
    <w:rsid w:val="001D7D22"/>
    <w:rsid w:val="001E3BB2"/>
    <w:rsid w:val="001E4846"/>
    <w:rsid w:val="001E51C5"/>
    <w:rsid w:val="001E6DAB"/>
    <w:rsid w:val="001F1958"/>
    <w:rsid w:val="001F380B"/>
    <w:rsid w:val="001F4061"/>
    <w:rsid w:val="001F422F"/>
    <w:rsid w:val="001F4704"/>
    <w:rsid w:val="001F512A"/>
    <w:rsid w:val="001F5930"/>
    <w:rsid w:val="001F63AD"/>
    <w:rsid w:val="00200A7C"/>
    <w:rsid w:val="00203489"/>
    <w:rsid w:val="002037AA"/>
    <w:rsid w:val="002055EC"/>
    <w:rsid w:val="00207A4C"/>
    <w:rsid w:val="00210970"/>
    <w:rsid w:val="00211663"/>
    <w:rsid w:val="002135F4"/>
    <w:rsid w:val="002141B4"/>
    <w:rsid w:val="00214B39"/>
    <w:rsid w:val="00214B4C"/>
    <w:rsid w:val="002154C4"/>
    <w:rsid w:val="00215709"/>
    <w:rsid w:val="0021577E"/>
    <w:rsid w:val="00217A41"/>
    <w:rsid w:val="00223B71"/>
    <w:rsid w:val="00223FDD"/>
    <w:rsid w:val="002247E6"/>
    <w:rsid w:val="00225249"/>
    <w:rsid w:val="002254D6"/>
    <w:rsid w:val="00225BB1"/>
    <w:rsid w:val="00226E9D"/>
    <w:rsid w:val="0023579A"/>
    <w:rsid w:val="00237AA7"/>
    <w:rsid w:val="00247C3F"/>
    <w:rsid w:val="00252D21"/>
    <w:rsid w:val="00253629"/>
    <w:rsid w:val="00254B85"/>
    <w:rsid w:val="002550BD"/>
    <w:rsid w:val="00255E31"/>
    <w:rsid w:val="00260506"/>
    <w:rsid w:val="00262578"/>
    <w:rsid w:val="00262CB3"/>
    <w:rsid w:val="00263D90"/>
    <w:rsid w:val="00265560"/>
    <w:rsid w:val="002657FD"/>
    <w:rsid w:val="00267F4C"/>
    <w:rsid w:val="00272036"/>
    <w:rsid w:val="002725F8"/>
    <w:rsid w:val="00275C0E"/>
    <w:rsid w:val="00280000"/>
    <w:rsid w:val="002803FB"/>
    <w:rsid w:val="00280ECD"/>
    <w:rsid w:val="00281494"/>
    <w:rsid w:val="00282276"/>
    <w:rsid w:val="00282326"/>
    <w:rsid w:val="002853DF"/>
    <w:rsid w:val="00285AB4"/>
    <w:rsid w:val="00286815"/>
    <w:rsid w:val="00291E03"/>
    <w:rsid w:val="002952A5"/>
    <w:rsid w:val="002953E9"/>
    <w:rsid w:val="00295B6E"/>
    <w:rsid w:val="00295D0D"/>
    <w:rsid w:val="002A0F33"/>
    <w:rsid w:val="002A0FDB"/>
    <w:rsid w:val="002A392E"/>
    <w:rsid w:val="002A4347"/>
    <w:rsid w:val="002B2EAB"/>
    <w:rsid w:val="002B66C9"/>
    <w:rsid w:val="002D2727"/>
    <w:rsid w:val="002D2CED"/>
    <w:rsid w:val="002D46F9"/>
    <w:rsid w:val="002D66F4"/>
    <w:rsid w:val="002E0463"/>
    <w:rsid w:val="002E0EC1"/>
    <w:rsid w:val="002E2970"/>
    <w:rsid w:val="002F063E"/>
    <w:rsid w:val="002F4A76"/>
    <w:rsid w:val="002F54FB"/>
    <w:rsid w:val="002F56BB"/>
    <w:rsid w:val="002F6681"/>
    <w:rsid w:val="002F7267"/>
    <w:rsid w:val="002F7950"/>
    <w:rsid w:val="00300AEB"/>
    <w:rsid w:val="00300D14"/>
    <w:rsid w:val="00300FF6"/>
    <w:rsid w:val="00303A13"/>
    <w:rsid w:val="003044F6"/>
    <w:rsid w:val="00305149"/>
    <w:rsid w:val="00305ADA"/>
    <w:rsid w:val="00305FDE"/>
    <w:rsid w:val="00307469"/>
    <w:rsid w:val="00314416"/>
    <w:rsid w:val="00315B10"/>
    <w:rsid w:val="00316565"/>
    <w:rsid w:val="003202F6"/>
    <w:rsid w:val="00325B00"/>
    <w:rsid w:val="00327436"/>
    <w:rsid w:val="003319C8"/>
    <w:rsid w:val="00331BD2"/>
    <w:rsid w:val="00333BCC"/>
    <w:rsid w:val="00336435"/>
    <w:rsid w:val="00341B81"/>
    <w:rsid w:val="00342F5F"/>
    <w:rsid w:val="00345AFA"/>
    <w:rsid w:val="00350B8B"/>
    <w:rsid w:val="0035529B"/>
    <w:rsid w:val="003569A4"/>
    <w:rsid w:val="00357D7E"/>
    <w:rsid w:val="0036021A"/>
    <w:rsid w:val="00363F46"/>
    <w:rsid w:val="0036592B"/>
    <w:rsid w:val="00370064"/>
    <w:rsid w:val="003701A4"/>
    <w:rsid w:val="00370225"/>
    <w:rsid w:val="00370B79"/>
    <w:rsid w:val="003716B5"/>
    <w:rsid w:val="00371797"/>
    <w:rsid w:val="003741D3"/>
    <w:rsid w:val="003768DC"/>
    <w:rsid w:val="00377C75"/>
    <w:rsid w:val="00382C7C"/>
    <w:rsid w:val="00385D19"/>
    <w:rsid w:val="003915B5"/>
    <w:rsid w:val="00395B92"/>
    <w:rsid w:val="00395C71"/>
    <w:rsid w:val="003A2227"/>
    <w:rsid w:val="003A2C78"/>
    <w:rsid w:val="003A4E5D"/>
    <w:rsid w:val="003A63B4"/>
    <w:rsid w:val="003A6F66"/>
    <w:rsid w:val="003A718D"/>
    <w:rsid w:val="003A7E69"/>
    <w:rsid w:val="003B06C0"/>
    <w:rsid w:val="003B0F48"/>
    <w:rsid w:val="003B16E1"/>
    <w:rsid w:val="003B2FF2"/>
    <w:rsid w:val="003B62E4"/>
    <w:rsid w:val="003B6A67"/>
    <w:rsid w:val="003B740D"/>
    <w:rsid w:val="003C064C"/>
    <w:rsid w:val="003C79BD"/>
    <w:rsid w:val="003C7FE8"/>
    <w:rsid w:val="003D29DC"/>
    <w:rsid w:val="003D3219"/>
    <w:rsid w:val="003D732C"/>
    <w:rsid w:val="003E1A1C"/>
    <w:rsid w:val="003E2164"/>
    <w:rsid w:val="003E36CF"/>
    <w:rsid w:val="003E4BBC"/>
    <w:rsid w:val="003E63AD"/>
    <w:rsid w:val="003E7BBC"/>
    <w:rsid w:val="003F00CA"/>
    <w:rsid w:val="003F01C8"/>
    <w:rsid w:val="003F2102"/>
    <w:rsid w:val="003F43BA"/>
    <w:rsid w:val="003F469C"/>
    <w:rsid w:val="003F56C9"/>
    <w:rsid w:val="00401692"/>
    <w:rsid w:val="0040256B"/>
    <w:rsid w:val="004102EB"/>
    <w:rsid w:val="0041337A"/>
    <w:rsid w:val="00413C78"/>
    <w:rsid w:val="00415D40"/>
    <w:rsid w:val="00416CE1"/>
    <w:rsid w:val="004175CF"/>
    <w:rsid w:val="0041798F"/>
    <w:rsid w:val="0042010A"/>
    <w:rsid w:val="00420243"/>
    <w:rsid w:val="0042027A"/>
    <w:rsid w:val="00424CDA"/>
    <w:rsid w:val="00424DA0"/>
    <w:rsid w:val="00431510"/>
    <w:rsid w:val="00433A05"/>
    <w:rsid w:val="0043674D"/>
    <w:rsid w:val="00436B58"/>
    <w:rsid w:val="00437909"/>
    <w:rsid w:val="0044092C"/>
    <w:rsid w:val="00441C02"/>
    <w:rsid w:val="00442630"/>
    <w:rsid w:val="00442803"/>
    <w:rsid w:val="0044399C"/>
    <w:rsid w:val="00447CBD"/>
    <w:rsid w:val="00450D3D"/>
    <w:rsid w:val="00462212"/>
    <w:rsid w:val="00463EA7"/>
    <w:rsid w:val="0046566A"/>
    <w:rsid w:val="00466B2A"/>
    <w:rsid w:val="00466EC7"/>
    <w:rsid w:val="004713EA"/>
    <w:rsid w:val="0047196B"/>
    <w:rsid w:val="00471C40"/>
    <w:rsid w:val="00476469"/>
    <w:rsid w:val="00477285"/>
    <w:rsid w:val="004806C5"/>
    <w:rsid w:val="00487165"/>
    <w:rsid w:val="00493FA9"/>
    <w:rsid w:val="00494529"/>
    <w:rsid w:val="00497FDC"/>
    <w:rsid w:val="004A1385"/>
    <w:rsid w:val="004A1D72"/>
    <w:rsid w:val="004A346A"/>
    <w:rsid w:val="004A3A54"/>
    <w:rsid w:val="004A5B34"/>
    <w:rsid w:val="004B022E"/>
    <w:rsid w:val="004B0A8D"/>
    <w:rsid w:val="004B44FF"/>
    <w:rsid w:val="004B5146"/>
    <w:rsid w:val="004B5A83"/>
    <w:rsid w:val="004B6D28"/>
    <w:rsid w:val="004B76ED"/>
    <w:rsid w:val="004B7889"/>
    <w:rsid w:val="004B7D24"/>
    <w:rsid w:val="004C11EE"/>
    <w:rsid w:val="004C2377"/>
    <w:rsid w:val="004C2504"/>
    <w:rsid w:val="004C4C52"/>
    <w:rsid w:val="004C57D4"/>
    <w:rsid w:val="004C777B"/>
    <w:rsid w:val="004C7883"/>
    <w:rsid w:val="004C7ED3"/>
    <w:rsid w:val="004D1A4F"/>
    <w:rsid w:val="004D1E9C"/>
    <w:rsid w:val="004D4E54"/>
    <w:rsid w:val="004D518E"/>
    <w:rsid w:val="004D7AF2"/>
    <w:rsid w:val="004E0615"/>
    <w:rsid w:val="004E0C0E"/>
    <w:rsid w:val="004E1233"/>
    <w:rsid w:val="004E3D88"/>
    <w:rsid w:val="004E5A83"/>
    <w:rsid w:val="004E653C"/>
    <w:rsid w:val="004F029A"/>
    <w:rsid w:val="004F09DC"/>
    <w:rsid w:val="004F370E"/>
    <w:rsid w:val="004F5B58"/>
    <w:rsid w:val="004F69F4"/>
    <w:rsid w:val="004F6DE4"/>
    <w:rsid w:val="00503BF4"/>
    <w:rsid w:val="00504125"/>
    <w:rsid w:val="005053DB"/>
    <w:rsid w:val="0051045B"/>
    <w:rsid w:val="00510E91"/>
    <w:rsid w:val="00515B02"/>
    <w:rsid w:val="0051619C"/>
    <w:rsid w:val="0052377D"/>
    <w:rsid w:val="00524307"/>
    <w:rsid w:val="0052603B"/>
    <w:rsid w:val="00526E39"/>
    <w:rsid w:val="00530161"/>
    <w:rsid w:val="00533E1E"/>
    <w:rsid w:val="00541903"/>
    <w:rsid w:val="0054782C"/>
    <w:rsid w:val="00552BEB"/>
    <w:rsid w:val="00554E51"/>
    <w:rsid w:val="00557735"/>
    <w:rsid w:val="00562509"/>
    <w:rsid w:val="005628A2"/>
    <w:rsid w:val="00566A13"/>
    <w:rsid w:val="00566A6B"/>
    <w:rsid w:val="00566C1E"/>
    <w:rsid w:val="005678FF"/>
    <w:rsid w:val="00572488"/>
    <w:rsid w:val="0057286C"/>
    <w:rsid w:val="00574249"/>
    <w:rsid w:val="00576968"/>
    <w:rsid w:val="00577188"/>
    <w:rsid w:val="00580899"/>
    <w:rsid w:val="005826F7"/>
    <w:rsid w:val="00582DA8"/>
    <w:rsid w:val="00583630"/>
    <w:rsid w:val="00584C6E"/>
    <w:rsid w:val="005933A2"/>
    <w:rsid w:val="00596278"/>
    <w:rsid w:val="005A2805"/>
    <w:rsid w:val="005B1FE5"/>
    <w:rsid w:val="005B252C"/>
    <w:rsid w:val="005B43C5"/>
    <w:rsid w:val="005B577C"/>
    <w:rsid w:val="005B59A8"/>
    <w:rsid w:val="005C1ABC"/>
    <w:rsid w:val="005C4CE4"/>
    <w:rsid w:val="005D259E"/>
    <w:rsid w:val="005E4059"/>
    <w:rsid w:val="005E51C0"/>
    <w:rsid w:val="005E6458"/>
    <w:rsid w:val="005E6B53"/>
    <w:rsid w:val="005E6D53"/>
    <w:rsid w:val="005F0A01"/>
    <w:rsid w:val="005F1F90"/>
    <w:rsid w:val="005F313D"/>
    <w:rsid w:val="005F415D"/>
    <w:rsid w:val="005F4BEC"/>
    <w:rsid w:val="005F66E4"/>
    <w:rsid w:val="005F7FCF"/>
    <w:rsid w:val="00601350"/>
    <w:rsid w:val="00604369"/>
    <w:rsid w:val="00604D40"/>
    <w:rsid w:val="00613AFB"/>
    <w:rsid w:val="006143FA"/>
    <w:rsid w:val="00614A21"/>
    <w:rsid w:val="006154DB"/>
    <w:rsid w:val="0061672B"/>
    <w:rsid w:val="00620413"/>
    <w:rsid w:val="006205B4"/>
    <w:rsid w:val="006209A0"/>
    <w:rsid w:val="006211ED"/>
    <w:rsid w:val="00623A0F"/>
    <w:rsid w:val="00625E2D"/>
    <w:rsid w:val="006309A8"/>
    <w:rsid w:val="00630CED"/>
    <w:rsid w:val="0063134F"/>
    <w:rsid w:val="0063219D"/>
    <w:rsid w:val="0063276A"/>
    <w:rsid w:val="00633286"/>
    <w:rsid w:val="0063481C"/>
    <w:rsid w:val="00635942"/>
    <w:rsid w:val="00637325"/>
    <w:rsid w:val="00637B33"/>
    <w:rsid w:val="00637C25"/>
    <w:rsid w:val="006408F6"/>
    <w:rsid w:val="006414F2"/>
    <w:rsid w:val="00643DF1"/>
    <w:rsid w:val="00645AD5"/>
    <w:rsid w:val="006462A4"/>
    <w:rsid w:val="00647875"/>
    <w:rsid w:val="00650475"/>
    <w:rsid w:val="00651438"/>
    <w:rsid w:val="00651714"/>
    <w:rsid w:val="00651E8E"/>
    <w:rsid w:val="006541D4"/>
    <w:rsid w:val="00655327"/>
    <w:rsid w:val="0065582D"/>
    <w:rsid w:val="006575E9"/>
    <w:rsid w:val="00657D23"/>
    <w:rsid w:val="00661B5C"/>
    <w:rsid w:val="00662129"/>
    <w:rsid w:val="00662B3A"/>
    <w:rsid w:val="0066383E"/>
    <w:rsid w:val="00664175"/>
    <w:rsid w:val="00664FBA"/>
    <w:rsid w:val="0066650A"/>
    <w:rsid w:val="006669D6"/>
    <w:rsid w:val="00670758"/>
    <w:rsid w:val="006735B0"/>
    <w:rsid w:val="00673740"/>
    <w:rsid w:val="00674F62"/>
    <w:rsid w:val="00681EAC"/>
    <w:rsid w:val="006906C4"/>
    <w:rsid w:val="00692F37"/>
    <w:rsid w:val="00694215"/>
    <w:rsid w:val="006967CE"/>
    <w:rsid w:val="00696936"/>
    <w:rsid w:val="00697367"/>
    <w:rsid w:val="006A05A8"/>
    <w:rsid w:val="006A0681"/>
    <w:rsid w:val="006A0950"/>
    <w:rsid w:val="006A12B0"/>
    <w:rsid w:val="006A1D2A"/>
    <w:rsid w:val="006A1EB0"/>
    <w:rsid w:val="006A3505"/>
    <w:rsid w:val="006A3AE9"/>
    <w:rsid w:val="006A3FF9"/>
    <w:rsid w:val="006A40CD"/>
    <w:rsid w:val="006A45C1"/>
    <w:rsid w:val="006B02B0"/>
    <w:rsid w:val="006B4743"/>
    <w:rsid w:val="006B6C0C"/>
    <w:rsid w:val="006C64D2"/>
    <w:rsid w:val="006C7FC0"/>
    <w:rsid w:val="006D000F"/>
    <w:rsid w:val="006D10AD"/>
    <w:rsid w:val="006D24A4"/>
    <w:rsid w:val="006D2F7B"/>
    <w:rsid w:val="006D4974"/>
    <w:rsid w:val="006D6D3C"/>
    <w:rsid w:val="006D6DB3"/>
    <w:rsid w:val="006E0263"/>
    <w:rsid w:val="006E05F7"/>
    <w:rsid w:val="006E1460"/>
    <w:rsid w:val="006E1A78"/>
    <w:rsid w:val="006E1AC7"/>
    <w:rsid w:val="006E2903"/>
    <w:rsid w:val="006E3197"/>
    <w:rsid w:val="006E337C"/>
    <w:rsid w:val="006E62E1"/>
    <w:rsid w:val="006E6C2E"/>
    <w:rsid w:val="006F194E"/>
    <w:rsid w:val="006F2E48"/>
    <w:rsid w:val="006F566C"/>
    <w:rsid w:val="006F5E4B"/>
    <w:rsid w:val="00701984"/>
    <w:rsid w:val="00702A1C"/>
    <w:rsid w:val="007031ED"/>
    <w:rsid w:val="00703C4E"/>
    <w:rsid w:val="00705FCC"/>
    <w:rsid w:val="00707309"/>
    <w:rsid w:val="007104EA"/>
    <w:rsid w:val="0071286F"/>
    <w:rsid w:val="007128A3"/>
    <w:rsid w:val="00716E17"/>
    <w:rsid w:val="007179EC"/>
    <w:rsid w:val="00722CDB"/>
    <w:rsid w:val="00724AE8"/>
    <w:rsid w:val="00724B9C"/>
    <w:rsid w:val="00725398"/>
    <w:rsid w:val="00725A43"/>
    <w:rsid w:val="00727A8C"/>
    <w:rsid w:val="0073008A"/>
    <w:rsid w:val="00730C72"/>
    <w:rsid w:val="0073208E"/>
    <w:rsid w:val="00733007"/>
    <w:rsid w:val="00734453"/>
    <w:rsid w:val="007349A9"/>
    <w:rsid w:val="00734D1C"/>
    <w:rsid w:val="00734FDE"/>
    <w:rsid w:val="00736FB8"/>
    <w:rsid w:val="007403EE"/>
    <w:rsid w:val="0074197C"/>
    <w:rsid w:val="00742F64"/>
    <w:rsid w:val="00746717"/>
    <w:rsid w:val="007507EE"/>
    <w:rsid w:val="007512BE"/>
    <w:rsid w:val="00751C63"/>
    <w:rsid w:val="00752265"/>
    <w:rsid w:val="0075372C"/>
    <w:rsid w:val="0075442B"/>
    <w:rsid w:val="0075513E"/>
    <w:rsid w:val="00755965"/>
    <w:rsid w:val="007571EE"/>
    <w:rsid w:val="00762B0A"/>
    <w:rsid w:val="00763CBA"/>
    <w:rsid w:val="00764CCD"/>
    <w:rsid w:val="00766615"/>
    <w:rsid w:val="00766A82"/>
    <w:rsid w:val="007673BE"/>
    <w:rsid w:val="00767498"/>
    <w:rsid w:val="00770639"/>
    <w:rsid w:val="0077188B"/>
    <w:rsid w:val="007725A9"/>
    <w:rsid w:val="00774DA9"/>
    <w:rsid w:val="00777AB5"/>
    <w:rsid w:val="00777F80"/>
    <w:rsid w:val="0078049F"/>
    <w:rsid w:val="00785C24"/>
    <w:rsid w:val="0079174D"/>
    <w:rsid w:val="00793535"/>
    <w:rsid w:val="007937A2"/>
    <w:rsid w:val="007940A3"/>
    <w:rsid w:val="00794EBF"/>
    <w:rsid w:val="00795370"/>
    <w:rsid w:val="007967A1"/>
    <w:rsid w:val="007A246B"/>
    <w:rsid w:val="007A4D1D"/>
    <w:rsid w:val="007B0557"/>
    <w:rsid w:val="007B1424"/>
    <w:rsid w:val="007B145D"/>
    <w:rsid w:val="007B1BA8"/>
    <w:rsid w:val="007B3BF4"/>
    <w:rsid w:val="007B3F6B"/>
    <w:rsid w:val="007B4C9E"/>
    <w:rsid w:val="007B5257"/>
    <w:rsid w:val="007B58B3"/>
    <w:rsid w:val="007C3052"/>
    <w:rsid w:val="007C3536"/>
    <w:rsid w:val="007D0544"/>
    <w:rsid w:val="007D5275"/>
    <w:rsid w:val="007E237D"/>
    <w:rsid w:val="007E4DE2"/>
    <w:rsid w:val="007E7260"/>
    <w:rsid w:val="007E7374"/>
    <w:rsid w:val="007E7812"/>
    <w:rsid w:val="007F288E"/>
    <w:rsid w:val="007F38F3"/>
    <w:rsid w:val="007F42A3"/>
    <w:rsid w:val="007F50BB"/>
    <w:rsid w:val="007F6EE3"/>
    <w:rsid w:val="007F7F49"/>
    <w:rsid w:val="0080422A"/>
    <w:rsid w:val="0080457B"/>
    <w:rsid w:val="00805C1A"/>
    <w:rsid w:val="008075FD"/>
    <w:rsid w:val="00810D73"/>
    <w:rsid w:val="008175F2"/>
    <w:rsid w:val="008176FF"/>
    <w:rsid w:val="00820EF7"/>
    <w:rsid w:val="00822600"/>
    <w:rsid w:val="00822921"/>
    <w:rsid w:val="00822A6D"/>
    <w:rsid w:val="00823FA7"/>
    <w:rsid w:val="008242CE"/>
    <w:rsid w:val="0082701A"/>
    <w:rsid w:val="008276C8"/>
    <w:rsid w:val="00830816"/>
    <w:rsid w:val="00830D3B"/>
    <w:rsid w:val="0083136E"/>
    <w:rsid w:val="00831DCE"/>
    <w:rsid w:val="0083427B"/>
    <w:rsid w:val="00834C62"/>
    <w:rsid w:val="00834E3D"/>
    <w:rsid w:val="008354EF"/>
    <w:rsid w:val="00835ECC"/>
    <w:rsid w:val="0084000E"/>
    <w:rsid w:val="00841C0A"/>
    <w:rsid w:val="00845E59"/>
    <w:rsid w:val="008462A5"/>
    <w:rsid w:val="0085052F"/>
    <w:rsid w:val="0085292F"/>
    <w:rsid w:val="00855B3E"/>
    <w:rsid w:val="0085681E"/>
    <w:rsid w:val="00861741"/>
    <w:rsid w:val="00861F4F"/>
    <w:rsid w:val="0086242E"/>
    <w:rsid w:val="008630BF"/>
    <w:rsid w:val="008636F5"/>
    <w:rsid w:val="00865056"/>
    <w:rsid w:val="008702E1"/>
    <w:rsid w:val="00871955"/>
    <w:rsid w:val="00871B1A"/>
    <w:rsid w:val="00873819"/>
    <w:rsid w:val="00873D60"/>
    <w:rsid w:val="00874FAF"/>
    <w:rsid w:val="00875394"/>
    <w:rsid w:val="008761A2"/>
    <w:rsid w:val="00876737"/>
    <w:rsid w:val="00877342"/>
    <w:rsid w:val="008777C7"/>
    <w:rsid w:val="00877A5B"/>
    <w:rsid w:val="00877EEA"/>
    <w:rsid w:val="0088110F"/>
    <w:rsid w:val="00881DF0"/>
    <w:rsid w:val="0088255C"/>
    <w:rsid w:val="008829D1"/>
    <w:rsid w:val="00882F98"/>
    <w:rsid w:val="0088304A"/>
    <w:rsid w:val="00891549"/>
    <w:rsid w:val="00892E3F"/>
    <w:rsid w:val="00894C5A"/>
    <w:rsid w:val="00897C33"/>
    <w:rsid w:val="008A174B"/>
    <w:rsid w:val="008A394D"/>
    <w:rsid w:val="008B0267"/>
    <w:rsid w:val="008B225B"/>
    <w:rsid w:val="008B310F"/>
    <w:rsid w:val="008B41D6"/>
    <w:rsid w:val="008B503E"/>
    <w:rsid w:val="008B63A7"/>
    <w:rsid w:val="008C369A"/>
    <w:rsid w:val="008C5A2D"/>
    <w:rsid w:val="008C6674"/>
    <w:rsid w:val="008D0A2D"/>
    <w:rsid w:val="008D37A6"/>
    <w:rsid w:val="008D7CCC"/>
    <w:rsid w:val="008E0781"/>
    <w:rsid w:val="008E5973"/>
    <w:rsid w:val="008F088E"/>
    <w:rsid w:val="00900606"/>
    <w:rsid w:val="00900F39"/>
    <w:rsid w:val="00913B2E"/>
    <w:rsid w:val="00914EA8"/>
    <w:rsid w:val="00917987"/>
    <w:rsid w:val="00922341"/>
    <w:rsid w:val="00922CC5"/>
    <w:rsid w:val="0092408A"/>
    <w:rsid w:val="009244A5"/>
    <w:rsid w:val="00924FCE"/>
    <w:rsid w:val="00925E2A"/>
    <w:rsid w:val="00926215"/>
    <w:rsid w:val="00927CDC"/>
    <w:rsid w:val="00931286"/>
    <w:rsid w:val="00932564"/>
    <w:rsid w:val="00932DE6"/>
    <w:rsid w:val="00933381"/>
    <w:rsid w:val="0093434B"/>
    <w:rsid w:val="0093555C"/>
    <w:rsid w:val="009367D1"/>
    <w:rsid w:val="00936F14"/>
    <w:rsid w:val="00936F5C"/>
    <w:rsid w:val="00937322"/>
    <w:rsid w:val="00941A7C"/>
    <w:rsid w:val="00942643"/>
    <w:rsid w:val="009432DD"/>
    <w:rsid w:val="00943B2C"/>
    <w:rsid w:val="00944800"/>
    <w:rsid w:val="00951166"/>
    <w:rsid w:val="00953E39"/>
    <w:rsid w:val="00953E43"/>
    <w:rsid w:val="00955AE4"/>
    <w:rsid w:val="00955DB4"/>
    <w:rsid w:val="00960595"/>
    <w:rsid w:val="0096313F"/>
    <w:rsid w:val="00965B5B"/>
    <w:rsid w:val="00965E8D"/>
    <w:rsid w:val="00966743"/>
    <w:rsid w:val="0096753C"/>
    <w:rsid w:val="009733BF"/>
    <w:rsid w:val="0097394E"/>
    <w:rsid w:val="00974210"/>
    <w:rsid w:val="00974906"/>
    <w:rsid w:val="00974AC5"/>
    <w:rsid w:val="009760AB"/>
    <w:rsid w:val="009762F4"/>
    <w:rsid w:val="009779EE"/>
    <w:rsid w:val="00977C3F"/>
    <w:rsid w:val="009801FF"/>
    <w:rsid w:val="00981178"/>
    <w:rsid w:val="00982546"/>
    <w:rsid w:val="00983853"/>
    <w:rsid w:val="00984845"/>
    <w:rsid w:val="00984DD0"/>
    <w:rsid w:val="0098583F"/>
    <w:rsid w:val="00986492"/>
    <w:rsid w:val="00987C72"/>
    <w:rsid w:val="00991267"/>
    <w:rsid w:val="00992EC6"/>
    <w:rsid w:val="009A00F9"/>
    <w:rsid w:val="009A22BC"/>
    <w:rsid w:val="009B0522"/>
    <w:rsid w:val="009B06E2"/>
    <w:rsid w:val="009B34D2"/>
    <w:rsid w:val="009B67A1"/>
    <w:rsid w:val="009C28F8"/>
    <w:rsid w:val="009C7D73"/>
    <w:rsid w:val="009D043D"/>
    <w:rsid w:val="009D0B64"/>
    <w:rsid w:val="009D0BCC"/>
    <w:rsid w:val="009D5054"/>
    <w:rsid w:val="009D5289"/>
    <w:rsid w:val="009E2DB4"/>
    <w:rsid w:val="009E32CB"/>
    <w:rsid w:val="009E57F5"/>
    <w:rsid w:val="009E68B4"/>
    <w:rsid w:val="009F212B"/>
    <w:rsid w:val="009F6054"/>
    <w:rsid w:val="00A019EF"/>
    <w:rsid w:val="00A02526"/>
    <w:rsid w:val="00A0488D"/>
    <w:rsid w:val="00A052FA"/>
    <w:rsid w:val="00A05321"/>
    <w:rsid w:val="00A06019"/>
    <w:rsid w:val="00A07A62"/>
    <w:rsid w:val="00A161D4"/>
    <w:rsid w:val="00A23D53"/>
    <w:rsid w:val="00A27897"/>
    <w:rsid w:val="00A30FDC"/>
    <w:rsid w:val="00A314CB"/>
    <w:rsid w:val="00A315CD"/>
    <w:rsid w:val="00A319C7"/>
    <w:rsid w:val="00A344BC"/>
    <w:rsid w:val="00A34F4A"/>
    <w:rsid w:val="00A37BB1"/>
    <w:rsid w:val="00A417AA"/>
    <w:rsid w:val="00A41A60"/>
    <w:rsid w:val="00A42940"/>
    <w:rsid w:val="00A42EBC"/>
    <w:rsid w:val="00A46DCF"/>
    <w:rsid w:val="00A470DA"/>
    <w:rsid w:val="00A50045"/>
    <w:rsid w:val="00A506FE"/>
    <w:rsid w:val="00A563BE"/>
    <w:rsid w:val="00A576C9"/>
    <w:rsid w:val="00A579C9"/>
    <w:rsid w:val="00A618BA"/>
    <w:rsid w:val="00A6214A"/>
    <w:rsid w:val="00A6400C"/>
    <w:rsid w:val="00A64025"/>
    <w:rsid w:val="00A66278"/>
    <w:rsid w:val="00A674A8"/>
    <w:rsid w:val="00A678FB"/>
    <w:rsid w:val="00A70CB8"/>
    <w:rsid w:val="00A73040"/>
    <w:rsid w:val="00A741B7"/>
    <w:rsid w:val="00A76387"/>
    <w:rsid w:val="00A80319"/>
    <w:rsid w:val="00A81C12"/>
    <w:rsid w:val="00A8327A"/>
    <w:rsid w:val="00A844E8"/>
    <w:rsid w:val="00A84ADA"/>
    <w:rsid w:val="00A850E6"/>
    <w:rsid w:val="00A85BE9"/>
    <w:rsid w:val="00A8701A"/>
    <w:rsid w:val="00A87E34"/>
    <w:rsid w:val="00A91570"/>
    <w:rsid w:val="00A96198"/>
    <w:rsid w:val="00A973E7"/>
    <w:rsid w:val="00AA28A4"/>
    <w:rsid w:val="00AA3BAD"/>
    <w:rsid w:val="00AA493D"/>
    <w:rsid w:val="00AA7244"/>
    <w:rsid w:val="00AB0238"/>
    <w:rsid w:val="00AB27BF"/>
    <w:rsid w:val="00AB3723"/>
    <w:rsid w:val="00AB4C0D"/>
    <w:rsid w:val="00AB6212"/>
    <w:rsid w:val="00AC09BC"/>
    <w:rsid w:val="00AC3F9D"/>
    <w:rsid w:val="00AC521D"/>
    <w:rsid w:val="00AC6AD6"/>
    <w:rsid w:val="00AD18E9"/>
    <w:rsid w:val="00AD1AFF"/>
    <w:rsid w:val="00AD1C2B"/>
    <w:rsid w:val="00AD373E"/>
    <w:rsid w:val="00AD3E28"/>
    <w:rsid w:val="00AD68B9"/>
    <w:rsid w:val="00AE0D66"/>
    <w:rsid w:val="00AE2DF1"/>
    <w:rsid w:val="00AE5427"/>
    <w:rsid w:val="00AF00BA"/>
    <w:rsid w:val="00AF0229"/>
    <w:rsid w:val="00AF06EE"/>
    <w:rsid w:val="00AF17C9"/>
    <w:rsid w:val="00AF37D1"/>
    <w:rsid w:val="00AF39C7"/>
    <w:rsid w:val="00AF3C20"/>
    <w:rsid w:val="00AF6A57"/>
    <w:rsid w:val="00AF7BBF"/>
    <w:rsid w:val="00B0014A"/>
    <w:rsid w:val="00B011D3"/>
    <w:rsid w:val="00B01240"/>
    <w:rsid w:val="00B03BF4"/>
    <w:rsid w:val="00B052CF"/>
    <w:rsid w:val="00B057EF"/>
    <w:rsid w:val="00B0661C"/>
    <w:rsid w:val="00B06FAA"/>
    <w:rsid w:val="00B07C2D"/>
    <w:rsid w:val="00B07E14"/>
    <w:rsid w:val="00B10B8D"/>
    <w:rsid w:val="00B11A99"/>
    <w:rsid w:val="00B12010"/>
    <w:rsid w:val="00B13CEB"/>
    <w:rsid w:val="00B15894"/>
    <w:rsid w:val="00B15963"/>
    <w:rsid w:val="00B2055A"/>
    <w:rsid w:val="00B21175"/>
    <w:rsid w:val="00B21D85"/>
    <w:rsid w:val="00B222C5"/>
    <w:rsid w:val="00B2554F"/>
    <w:rsid w:val="00B30CB4"/>
    <w:rsid w:val="00B314B4"/>
    <w:rsid w:val="00B31679"/>
    <w:rsid w:val="00B3167D"/>
    <w:rsid w:val="00B34E8E"/>
    <w:rsid w:val="00B35C12"/>
    <w:rsid w:val="00B41FD3"/>
    <w:rsid w:val="00B43EB3"/>
    <w:rsid w:val="00B43FCE"/>
    <w:rsid w:val="00B44AF5"/>
    <w:rsid w:val="00B44E7B"/>
    <w:rsid w:val="00B47E25"/>
    <w:rsid w:val="00B505BD"/>
    <w:rsid w:val="00B510FF"/>
    <w:rsid w:val="00B5242F"/>
    <w:rsid w:val="00B52C2E"/>
    <w:rsid w:val="00B549A4"/>
    <w:rsid w:val="00B551AD"/>
    <w:rsid w:val="00B56604"/>
    <w:rsid w:val="00B57409"/>
    <w:rsid w:val="00B6009C"/>
    <w:rsid w:val="00B65E1E"/>
    <w:rsid w:val="00B660F4"/>
    <w:rsid w:val="00B670E9"/>
    <w:rsid w:val="00B70922"/>
    <w:rsid w:val="00B728AF"/>
    <w:rsid w:val="00B83FF0"/>
    <w:rsid w:val="00B84DB9"/>
    <w:rsid w:val="00B85423"/>
    <w:rsid w:val="00B870F4"/>
    <w:rsid w:val="00B91B0D"/>
    <w:rsid w:val="00B92EAE"/>
    <w:rsid w:val="00B94C98"/>
    <w:rsid w:val="00B94E45"/>
    <w:rsid w:val="00BA005A"/>
    <w:rsid w:val="00BA085D"/>
    <w:rsid w:val="00BA2461"/>
    <w:rsid w:val="00BA26F0"/>
    <w:rsid w:val="00BA26F6"/>
    <w:rsid w:val="00BA54A5"/>
    <w:rsid w:val="00BA6F9D"/>
    <w:rsid w:val="00BB1141"/>
    <w:rsid w:val="00BB1679"/>
    <w:rsid w:val="00BB5DC0"/>
    <w:rsid w:val="00BB6FB6"/>
    <w:rsid w:val="00BC1DC0"/>
    <w:rsid w:val="00BC4C49"/>
    <w:rsid w:val="00BD1918"/>
    <w:rsid w:val="00BD6DCF"/>
    <w:rsid w:val="00BE2EB3"/>
    <w:rsid w:val="00BE4136"/>
    <w:rsid w:val="00BE4178"/>
    <w:rsid w:val="00BF10CD"/>
    <w:rsid w:val="00BF4881"/>
    <w:rsid w:val="00BF4ED6"/>
    <w:rsid w:val="00BF5223"/>
    <w:rsid w:val="00BF526A"/>
    <w:rsid w:val="00BF5317"/>
    <w:rsid w:val="00BF5A24"/>
    <w:rsid w:val="00BF669B"/>
    <w:rsid w:val="00BF6C56"/>
    <w:rsid w:val="00C03F8C"/>
    <w:rsid w:val="00C079BD"/>
    <w:rsid w:val="00C10635"/>
    <w:rsid w:val="00C10F2D"/>
    <w:rsid w:val="00C12D96"/>
    <w:rsid w:val="00C13576"/>
    <w:rsid w:val="00C13690"/>
    <w:rsid w:val="00C161B9"/>
    <w:rsid w:val="00C17199"/>
    <w:rsid w:val="00C20CBA"/>
    <w:rsid w:val="00C232F9"/>
    <w:rsid w:val="00C23465"/>
    <w:rsid w:val="00C243AD"/>
    <w:rsid w:val="00C249D2"/>
    <w:rsid w:val="00C24A2A"/>
    <w:rsid w:val="00C260E8"/>
    <w:rsid w:val="00C30A36"/>
    <w:rsid w:val="00C30D19"/>
    <w:rsid w:val="00C312CC"/>
    <w:rsid w:val="00C325DC"/>
    <w:rsid w:val="00C3407E"/>
    <w:rsid w:val="00C34472"/>
    <w:rsid w:val="00C35938"/>
    <w:rsid w:val="00C40B7D"/>
    <w:rsid w:val="00C45611"/>
    <w:rsid w:val="00C50415"/>
    <w:rsid w:val="00C517BF"/>
    <w:rsid w:val="00C5488E"/>
    <w:rsid w:val="00C56CC1"/>
    <w:rsid w:val="00C57676"/>
    <w:rsid w:val="00C6115A"/>
    <w:rsid w:val="00C626F0"/>
    <w:rsid w:val="00C646EB"/>
    <w:rsid w:val="00C67268"/>
    <w:rsid w:val="00C7584E"/>
    <w:rsid w:val="00C77BD5"/>
    <w:rsid w:val="00C804E6"/>
    <w:rsid w:val="00C81BD7"/>
    <w:rsid w:val="00C858CD"/>
    <w:rsid w:val="00C86889"/>
    <w:rsid w:val="00C90780"/>
    <w:rsid w:val="00C927B6"/>
    <w:rsid w:val="00C94B0F"/>
    <w:rsid w:val="00C94E7F"/>
    <w:rsid w:val="00C957B6"/>
    <w:rsid w:val="00C95D93"/>
    <w:rsid w:val="00C965F1"/>
    <w:rsid w:val="00C96661"/>
    <w:rsid w:val="00C9726F"/>
    <w:rsid w:val="00CA0312"/>
    <w:rsid w:val="00CA08B0"/>
    <w:rsid w:val="00CA1B7C"/>
    <w:rsid w:val="00CA2C84"/>
    <w:rsid w:val="00CB323C"/>
    <w:rsid w:val="00CC0549"/>
    <w:rsid w:val="00CC1BA0"/>
    <w:rsid w:val="00CC5300"/>
    <w:rsid w:val="00CC6C4A"/>
    <w:rsid w:val="00CD3D74"/>
    <w:rsid w:val="00CD5D61"/>
    <w:rsid w:val="00CD6E10"/>
    <w:rsid w:val="00CE1C91"/>
    <w:rsid w:val="00CE4C14"/>
    <w:rsid w:val="00CF03AC"/>
    <w:rsid w:val="00CF596B"/>
    <w:rsid w:val="00CF597C"/>
    <w:rsid w:val="00CF5E7C"/>
    <w:rsid w:val="00D01D70"/>
    <w:rsid w:val="00D035DC"/>
    <w:rsid w:val="00D0419F"/>
    <w:rsid w:val="00D045BB"/>
    <w:rsid w:val="00D05A96"/>
    <w:rsid w:val="00D065DD"/>
    <w:rsid w:val="00D06AA8"/>
    <w:rsid w:val="00D07871"/>
    <w:rsid w:val="00D1057D"/>
    <w:rsid w:val="00D10708"/>
    <w:rsid w:val="00D1129B"/>
    <w:rsid w:val="00D148B2"/>
    <w:rsid w:val="00D15F60"/>
    <w:rsid w:val="00D16DF2"/>
    <w:rsid w:val="00D20612"/>
    <w:rsid w:val="00D20617"/>
    <w:rsid w:val="00D235EB"/>
    <w:rsid w:val="00D23B58"/>
    <w:rsid w:val="00D24CA0"/>
    <w:rsid w:val="00D25503"/>
    <w:rsid w:val="00D26E26"/>
    <w:rsid w:val="00D273EA"/>
    <w:rsid w:val="00D315BC"/>
    <w:rsid w:val="00D32D9D"/>
    <w:rsid w:val="00D34D4E"/>
    <w:rsid w:val="00D440F4"/>
    <w:rsid w:val="00D50990"/>
    <w:rsid w:val="00D5188E"/>
    <w:rsid w:val="00D52039"/>
    <w:rsid w:val="00D54A48"/>
    <w:rsid w:val="00D663EC"/>
    <w:rsid w:val="00D67917"/>
    <w:rsid w:val="00D70C76"/>
    <w:rsid w:val="00D72198"/>
    <w:rsid w:val="00D723CB"/>
    <w:rsid w:val="00D7294E"/>
    <w:rsid w:val="00D7399D"/>
    <w:rsid w:val="00D80425"/>
    <w:rsid w:val="00D83624"/>
    <w:rsid w:val="00D8578E"/>
    <w:rsid w:val="00D85E3A"/>
    <w:rsid w:val="00D86F3A"/>
    <w:rsid w:val="00D87D80"/>
    <w:rsid w:val="00D90CD0"/>
    <w:rsid w:val="00D918A8"/>
    <w:rsid w:val="00D91A4F"/>
    <w:rsid w:val="00D92164"/>
    <w:rsid w:val="00D9477E"/>
    <w:rsid w:val="00DA0BF8"/>
    <w:rsid w:val="00DA18C3"/>
    <w:rsid w:val="00DA2603"/>
    <w:rsid w:val="00DA38F0"/>
    <w:rsid w:val="00DA3B20"/>
    <w:rsid w:val="00DA4BB5"/>
    <w:rsid w:val="00DA5C0B"/>
    <w:rsid w:val="00DB1B17"/>
    <w:rsid w:val="00DB3FB1"/>
    <w:rsid w:val="00DB54E0"/>
    <w:rsid w:val="00DB6CAE"/>
    <w:rsid w:val="00DB7D3B"/>
    <w:rsid w:val="00DC112F"/>
    <w:rsid w:val="00DC29E8"/>
    <w:rsid w:val="00DC2CE7"/>
    <w:rsid w:val="00DC525D"/>
    <w:rsid w:val="00DC6CA6"/>
    <w:rsid w:val="00DD1A31"/>
    <w:rsid w:val="00DD30C5"/>
    <w:rsid w:val="00DD3894"/>
    <w:rsid w:val="00DD4368"/>
    <w:rsid w:val="00DD74F9"/>
    <w:rsid w:val="00DE0748"/>
    <w:rsid w:val="00DE0E54"/>
    <w:rsid w:val="00DE2C6D"/>
    <w:rsid w:val="00DE2EBE"/>
    <w:rsid w:val="00DE4A51"/>
    <w:rsid w:val="00DE4BE7"/>
    <w:rsid w:val="00DE6488"/>
    <w:rsid w:val="00DE719E"/>
    <w:rsid w:val="00DE7FCB"/>
    <w:rsid w:val="00DF4328"/>
    <w:rsid w:val="00DF54E8"/>
    <w:rsid w:val="00DF5A11"/>
    <w:rsid w:val="00E00355"/>
    <w:rsid w:val="00E03719"/>
    <w:rsid w:val="00E06B51"/>
    <w:rsid w:val="00E118A9"/>
    <w:rsid w:val="00E12060"/>
    <w:rsid w:val="00E151C4"/>
    <w:rsid w:val="00E168B3"/>
    <w:rsid w:val="00E203A1"/>
    <w:rsid w:val="00E218ED"/>
    <w:rsid w:val="00E23F29"/>
    <w:rsid w:val="00E256E7"/>
    <w:rsid w:val="00E25E82"/>
    <w:rsid w:val="00E27F8F"/>
    <w:rsid w:val="00E324C2"/>
    <w:rsid w:val="00E32990"/>
    <w:rsid w:val="00E33266"/>
    <w:rsid w:val="00E33F9D"/>
    <w:rsid w:val="00E376DD"/>
    <w:rsid w:val="00E379B3"/>
    <w:rsid w:val="00E37A8A"/>
    <w:rsid w:val="00E408D0"/>
    <w:rsid w:val="00E41E16"/>
    <w:rsid w:val="00E41FC7"/>
    <w:rsid w:val="00E4218C"/>
    <w:rsid w:val="00E42A69"/>
    <w:rsid w:val="00E42D16"/>
    <w:rsid w:val="00E43EE9"/>
    <w:rsid w:val="00E44626"/>
    <w:rsid w:val="00E4592C"/>
    <w:rsid w:val="00E509B3"/>
    <w:rsid w:val="00E5211B"/>
    <w:rsid w:val="00E55D8E"/>
    <w:rsid w:val="00E57C44"/>
    <w:rsid w:val="00E61CD3"/>
    <w:rsid w:val="00E61FF2"/>
    <w:rsid w:val="00E647DC"/>
    <w:rsid w:val="00E65F3E"/>
    <w:rsid w:val="00E671DD"/>
    <w:rsid w:val="00E70395"/>
    <w:rsid w:val="00E70787"/>
    <w:rsid w:val="00E71E13"/>
    <w:rsid w:val="00E73C02"/>
    <w:rsid w:val="00E82D9A"/>
    <w:rsid w:val="00E83012"/>
    <w:rsid w:val="00E85B9E"/>
    <w:rsid w:val="00E864A2"/>
    <w:rsid w:val="00E86DBC"/>
    <w:rsid w:val="00E87EAD"/>
    <w:rsid w:val="00E91741"/>
    <w:rsid w:val="00E91B9F"/>
    <w:rsid w:val="00E92EDE"/>
    <w:rsid w:val="00E952D2"/>
    <w:rsid w:val="00E96E05"/>
    <w:rsid w:val="00E979E2"/>
    <w:rsid w:val="00EA0F4D"/>
    <w:rsid w:val="00EA51CD"/>
    <w:rsid w:val="00EB102D"/>
    <w:rsid w:val="00EB3751"/>
    <w:rsid w:val="00EB46B0"/>
    <w:rsid w:val="00EB587C"/>
    <w:rsid w:val="00EB644C"/>
    <w:rsid w:val="00EB6D81"/>
    <w:rsid w:val="00EC01CD"/>
    <w:rsid w:val="00EC0577"/>
    <w:rsid w:val="00EC128D"/>
    <w:rsid w:val="00EC16DE"/>
    <w:rsid w:val="00EC1EC3"/>
    <w:rsid w:val="00EC2CA2"/>
    <w:rsid w:val="00EC6576"/>
    <w:rsid w:val="00EC6B42"/>
    <w:rsid w:val="00ED09EA"/>
    <w:rsid w:val="00ED112D"/>
    <w:rsid w:val="00ED45E4"/>
    <w:rsid w:val="00EE04B9"/>
    <w:rsid w:val="00EE1942"/>
    <w:rsid w:val="00EE3551"/>
    <w:rsid w:val="00EE4A41"/>
    <w:rsid w:val="00EE6420"/>
    <w:rsid w:val="00EE655D"/>
    <w:rsid w:val="00EF0D9C"/>
    <w:rsid w:val="00EF149C"/>
    <w:rsid w:val="00EF373E"/>
    <w:rsid w:val="00EF6CD4"/>
    <w:rsid w:val="00F00FCE"/>
    <w:rsid w:val="00F03456"/>
    <w:rsid w:val="00F03540"/>
    <w:rsid w:val="00F03829"/>
    <w:rsid w:val="00F03E3D"/>
    <w:rsid w:val="00F048BC"/>
    <w:rsid w:val="00F06049"/>
    <w:rsid w:val="00F10F6F"/>
    <w:rsid w:val="00F13610"/>
    <w:rsid w:val="00F14F50"/>
    <w:rsid w:val="00F161D9"/>
    <w:rsid w:val="00F172F9"/>
    <w:rsid w:val="00F17CDA"/>
    <w:rsid w:val="00F21C1A"/>
    <w:rsid w:val="00F22629"/>
    <w:rsid w:val="00F2414F"/>
    <w:rsid w:val="00F2492A"/>
    <w:rsid w:val="00F24C44"/>
    <w:rsid w:val="00F259A2"/>
    <w:rsid w:val="00F2636A"/>
    <w:rsid w:val="00F263B2"/>
    <w:rsid w:val="00F273CA"/>
    <w:rsid w:val="00F276FD"/>
    <w:rsid w:val="00F27DD0"/>
    <w:rsid w:val="00F310C5"/>
    <w:rsid w:val="00F31C6F"/>
    <w:rsid w:val="00F344CC"/>
    <w:rsid w:val="00F363FD"/>
    <w:rsid w:val="00F370D9"/>
    <w:rsid w:val="00F37D01"/>
    <w:rsid w:val="00F418E1"/>
    <w:rsid w:val="00F45E12"/>
    <w:rsid w:val="00F47B0F"/>
    <w:rsid w:val="00F50AD1"/>
    <w:rsid w:val="00F510B4"/>
    <w:rsid w:val="00F5361C"/>
    <w:rsid w:val="00F563AD"/>
    <w:rsid w:val="00F605D5"/>
    <w:rsid w:val="00F64CAB"/>
    <w:rsid w:val="00F66BCA"/>
    <w:rsid w:val="00F67CEE"/>
    <w:rsid w:val="00F701BC"/>
    <w:rsid w:val="00F752F0"/>
    <w:rsid w:val="00F75706"/>
    <w:rsid w:val="00F7676D"/>
    <w:rsid w:val="00F76940"/>
    <w:rsid w:val="00F76ECB"/>
    <w:rsid w:val="00F81D7C"/>
    <w:rsid w:val="00F820DC"/>
    <w:rsid w:val="00F8368E"/>
    <w:rsid w:val="00F8440F"/>
    <w:rsid w:val="00F9150D"/>
    <w:rsid w:val="00F92BEE"/>
    <w:rsid w:val="00F92BF9"/>
    <w:rsid w:val="00F943F7"/>
    <w:rsid w:val="00F95D2B"/>
    <w:rsid w:val="00F95D4D"/>
    <w:rsid w:val="00FA17A0"/>
    <w:rsid w:val="00FA1875"/>
    <w:rsid w:val="00FA2C08"/>
    <w:rsid w:val="00FA5E4F"/>
    <w:rsid w:val="00FA6352"/>
    <w:rsid w:val="00FB0E02"/>
    <w:rsid w:val="00FB7493"/>
    <w:rsid w:val="00FB77CA"/>
    <w:rsid w:val="00FB7897"/>
    <w:rsid w:val="00FC2D77"/>
    <w:rsid w:val="00FC3925"/>
    <w:rsid w:val="00FC412E"/>
    <w:rsid w:val="00FC4924"/>
    <w:rsid w:val="00FC52EB"/>
    <w:rsid w:val="00FC6956"/>
    <w:rsid w:val="00FD1288"/>
    <w:rsid w:val="00FD46F6"/>
    <w:rsid w:val="00FD75A3"/>
    <w:rsid w:val="00FE0DB2"/>
    <w:rsid w:val="00FE179D"/>
    <w:rsid w:val="00FE2C06"/>
    <w:rsid w:val="00FE2CEB"/>
    <w:rsid w:val="00FE4979"/>
    <w:rsid w:val="00FE571E"/>
    <w:rsid w:val="00FE6F3C"/>
    <w:rsid w:val="00FE7BE3"/>
    <w:rsid w:val="00FF07E2"/>
    <w:rsid w:val="00FF14D9"/>
    <w:rsid w:val="00FF24B4"/>
    <w:rsid w:val="00FF2979"/>
    <w:rsid w:val="00FF2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C02"/>
    <w:pPr>
      <w:bidi/>
      <w:spacing w:after="200" w:line="276" w:lineRule="auto"/>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827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27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82701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semiHidden/>
    <w:rsid w:val="0082701A"/>
    <w:rPr>
      <w:rFonts w:asciiTheme="majorHAnsi" w:eastAsiaTheme="majorEastAsia" w:hAnsiTheme="majorHAnsi" w:cstheme="majorBidi"/>
      <w:color w:val="1F4D78" w:themeColor="accent1" w:themeShade="7F"/>
      <w:sz w:val="24"/>
      <w:szCs w:val="24"/>
    </w:rPr>
  </w:style>
  <w:style w:type="character" w:customStyle="1" w:styleId="Bodytext2">
    <w:name w:val="Body text (2)_"/>
    <w:basedOn w:val="a0"/>
    <w:link w:val="Bodytext20"/>
    <w:rsid w:val="001A028B"/>
    <w:rPr>
      <w:rFonts w:ascii="Times New Roman" w:eastAsia="Times New Roman" w:hAnsi="Times New Roman" w:cs="Times New Roman"/>
      <w:sz w:val="20"/>
      <w:szCs w:val="20"/>
      <w:shd w:val="clear" w:color="auto" w:fill="FFFFFF"/>
    </w:rPr>
  </w:style>
  <w:style w:type="character" w:customStyle="1" w:styleId="Bodytext2Arial">
    <w:name w:val="Body text (2) + Arial"/>
    <w:aliases w:val="6 pt,Italic"/>
    <w:basedOn w:val="Bodytext2"/>
    <w:rsid w:val="001A028B"/>
    <w:rPr>
      <w:rFonts w:ascii="Arial" w:eastAsia="Arial" w:hAnsi="Arial" w:cs="Arial"/>
      <w:i/>
      <w:iCs/>
      <w:color w:val="000000"/>
      <w:spacing w:val="0"/>
      <w:w w:val="100"/>
      <w:position w:val="0"/>
      <w:sz w:val="12"/>
      <w:szCs w:val="12"/>
      <w:shd w:val="clear" w:color="auto" w:fill="FFFFFF"/>
      <w:lang w:val="he-IL" w:eastAsia="he-IL" w:bidi="he-IL"/>
    </w:rPr>
  </w:style>
  <w:style w:type="paragraph" w:customStyle="1" w:styleId="Bodytext20">
    <w:name w:val="Body text (2)"/>
    <w:basedOn w:val="a"/>
    <w:link w:val="Bodytext2"/>
    <w:rsid w:val="001A028B"/>
    <w:pPr>
      <w:widowControl w:val="0"/>
      <w:shd w:val="clear" w:color="auto" w:fill="FFFFFF"/>
      <w:bidi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069">
      <w:bodyDiv w:val="1"/>
      <w:marLeft w:val="0"/>
      <w:marRight w:val="0"/>
      <w:marTop w:val="0"/>
      <w:marBottom w:val="0"/>
      <w:divBdr>
        <w:top w:val="none" w:sz="0" w:space="0" w:color="auto"/>
        <w:left w:val="none" w:sz="0" w:space="0" w:color="auto"/>
        <w:bottom w:val="none" w:sz="0" w:space="0" w:color="auto"/>
        <w:right w:val="none" w:sz="0" w:space="0" w:color="auto"/>
      </w:divBdr>
    </w:div>
    <w:div w:id="412166130">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1">
          <w:marLeft w:val="0"/>
          <w:marRight w:val="547"/>
          <w:marTop w:val="0"/>
          <w:marBottom w:val="0"/>
          <w:divBdr>
            <w:top w:val="none" w:sz="0" w:space="0" w:color="auto"/>
            <w:left w:val="none" w:sz="0" w:space="0" w:color="auto"/>
            <w:bottom w:val="none" w:sz="0" w:space="0" w:color="auto"/>
            <w:right w:val="none" w:sz="0" w:space="0" w:color="auto"/>
          </w:divBdr>
        </w:div>
        <w:div w:id="1077216169">
          <w:marLeft w:val="0"/>
          <w:marRight w:val="1166"/>
          <w:marTop w:val="0"/>
          <w:marBottom w:val="0"/>
          <w:divBdr>
            <w:top w:val="none" w:sz="0" w:space="0" w:color="auto"/>
            <w:left w:val="none" w:sz="0" w:space="0" w:color="auto"/>
            <w:bottom w:val="none" w:sz="0" w:space="0" w:color="auto"/>
            <w:right w:val="none" w:sz="0" w:space="0" w:color="auto"/>
          </w:divBdr>
        </w:div>
        <w:div w:id="1288976339">
          <w:marLeft w:val="0"/>
          <w:marRight w:val="1166"/>
          <w:marTop w:val="0"/>
          <w:marBottom w:val="0"/>
          <w:divBdr>
            <w:top w:val="none" w:sz="0" w:space="0" w:color="auto"/>
            <w:left w:val="none" w:sz="0" w:space="0" w:color="auto"/>
            <w:bottom w:val="none" w:sz="0" w:space="0" w:color="auto"/>
            <w:right w:val="none" w:sz="0" w:space="0" w:color="auto"/>
          </w:divBdr>
        </w:div>
        <w:div w:id="1573081121">
          <w:marLeft w:val="0"/>
          <w:marRight w:val="1166"/>
          <w:marTop w:val="0"/>
          <w:marBottom w:val="0"/>
          <w:divBdr>
            <w:top w:val="none" w:sz="0" w:space="0" w:color="auto"/>
            <w:left w:val="none" w:sz="0" w:space="0" w:color="auto"/>
            <w:bottom w:val="none" w:sz="0" w:space="0" w:color="auto"/>
            <w:right w:val="none" w:sz="0" w:space="0" w:color="auto"/>
          </w:divBdr>
        </w:div>
      </w:divsChild>
    </w:div>
    <w:div w:id="1463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4F29-2E79-4D88-BE94-A2D0470B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3069</Words>
  <Characters>15350</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44</cp:revision>
  <cp:lastPrinted>2014-11-10T06:43:00Z</cp:lastPrinted>
  <dcterms:created xsi:type="dcterms:W3CDTF">2015-01-18T07:56:00Z</dcterms:created>
  <dcterms:modified xsi:type="dcterms:W3CDTF">2015-01-18T13:48:00Z</dcterms:modified>
</cp:coreProperties>
</file>